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F1" w:rsidRDefault="00BD7AF1" w:rsidP="00BD7AF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D7AF1" w:rsidRDefault="00BD7AF1" w:rsidP="00BD7AF1">
      <w:pPr>
        <w:pStyle w:val="ConsPlusNormal"/>
        <w:jc w:val="both"/>
        <w:outlineLvl w:val="0"/>
      </w:pPr>
    </w:p>
    <w:p w:rsidR="00BD7AF1" w:rsidRDefault="00BD7AF1" w:rsidP="00BD7AF1">
      <w:pPr>
        <w:pStyle w:val="ConsPlusTitle"/>
        <w:jc w:val="center"/>
        <w:outlineLvl w:val="0"/>
      </w:pPr>
      <w:r>
        <w:t>ПРАВИТЕЛЬСТВО ЛЕНИНГРАДСКОЙ ОБЛАСТИ</w:t>
      </w:r>
    </w:p>
    <w:p w:rsidR="00BD7AF1" w:rsidRDefault="00BD7AF1" w:rsidP="00BD7AF1">
      <w:pPr>
        <w:pStyle w:val="ConsPlusTitle"/>
        <w:jc w:val="center"/>
      </w:pPr>
    </w:p>
    <w:p w:rsidR="00BD7AF1" w:rsidRDefault="00BD7AF1" w:rsidP="00BD7AF1">
      <w:pPr>
        <w:pStyle w:val="ConsPlusTitle"/>
        <w:jc w:val="center"/>
      </w:pPr>
      <w:r>
        <w:t>ПОСТАНОВЛЕНИЕ</w:t>
      </w:r>
    </w:p>
    <w:p w:rsidR="00BD7AF1" w:rsidRDefault="00BD7AF1" w:rsidP="00BD7AF1">
      <w:pPr>
        <w:pStyle w:val="ConsPlusTitle"/>
        <w:jc w:val="center"/>
      </w:pPr>
      <w:r>
        <w:t>от 15 февраля 2016 г. N 26</w:t>
      </w:r>
    </w:p>
    <w:p w:rsidR="00BD7AF1" w:rsidRDefault="00BD7AF1" w:rsidP="00BD7AF1">
      <w:pPr>
        <w:pStyle w:val="ConsPlusTitle"/>
        <w:jc w:val="center"/>
      </w:pPr>
    </w:p>
    <w:p w:rsidR="00BD7AF1" w:rsidRDefault="00BD7AF1" w:rsidP="00BD7AF1">
      <w:pPr>
        <w:pStyle w:val="ConsPlusTitle"/>
        <w:jc w:val="center"/>
      </w:pPr>
      <w:r>
        <w:t xml:space="preserve">ОБ ОПРЕДЕЛЕНИИ РАЗМЕРА ВРЕДА, ПРИЧИНЯЕМОГО </w:t>
      </w:r>
      <w:proofErr w:type="gramStart"/>
      <w:r>
        <w:t>ТЯЖЕЛОВЕСНЫМ</w:t>
      </w:r>
      <w:proofErr w:type="gramEnd"/>
    </w:p>
    <w:p w:rsidR="00BD7AF1" w:rsidRDefault="00BD7AF1" w:rsidP="00BD7AF1">
      <w:pPr>
        <w:pStyle w:val="ConsPlusTitle"/>
        <w:jc w:val="center"/>
      </w:pPr>
      <w:r>
        <w:t>ТРАНСПОРТНЫМ СРЕДСТВОМ, В СЛУЧАЕ ДВИЖЕНИЯ УКАЗАННОГО</w:t>
      </w:r>
    </w:p>
    <w:p w:rsidR="00BD7AF1" w:rsidRDefault="00BD7AF1" w:rsidP="00BD7AF1">
      <w:pPr>
        <w:pStyle w:val="ConsPlusTitle"/>
        <w:jc w:val="center"/>
      </w:pPr>
      <w:r>
        <w:t>ТРАНСПОРТНОГО СРЕДСТВА ПО АВТОМОБИЛЬНЫМ ДОРОГАМ ОБЩЕГО</w:t>
      </w:r>
    </w:p>
    <w:p w:rsidR="00BD7AF1" w:rsidRDefault="00BD7AF1" w:rsidP="00BD7AF1">
      <w:pPr>
        <w:pStyle w:val="ConsPlusTitle"/>
        <w:jc w:val="center"/>
      </w:pPr>
      <w:r>
        <w:t>ПОЛЬЗОВАНИЯ РЕГИОНАЛЬНОГО ИЛИ МЕЖМУНИЦИПАЛЬНОГО ЗНАЧЕНИЯ</w:t>
      </w:r>
    </w:p>
    <w:p w:rsidR="00BD7AF1" w:rsidRDefault="00BD7AF1" w:rsidP="00BD7AF1">
      <w:pPr>
        <w:pStyle w:val="ConsPlusNormal"/>
        <w:jc w:val="both"/>
      </w:pPr>
    </w:p>
    <w:p w:rsidR="00BD7AF1" w:rsidRDefault="00BD7AF1" w:rsidP="00BD7AF1">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Pr>
            <w:color w:val="0000FF"/>
          </w:rPr>
          <w:t>постановлением</w:t>
        </w:r>
      </w:hyperlink>
      <w:r>
        <w:t xml:space="preserve">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Правительство Ленинградской</w:t>
      </w:r>
      <w:proofErr w:type="gramEnd"/>
      <w:r>
        <w:t xml:space="preserve"> области постановляет:</w:t>
      </w:r>
    </w:p>
    <w:p w:rsidR="00BD7AF1" w:rsidRDefault="00BD7AF1" w:rsidP="00BD7AF1">
      <w:pPr>
        <w:pStyle w:val="ConsPlusNormal"/>
        <w:jc w:val="both"/>
      </w:pPr>
    </w:p>
    <w:p w:rsidR="00BD7AF1" w:rsidRDefault="00BD7AF1" w:rsidP="00BD7AF1">
      <w:pPr>
        <w:pStyle w:val="ConsPlusNormal"/>
        <w:ind w:firstLine="540"/>
        <w:jc w:val="both"/>
      </w:pPr>
      <w:r>
        <w:t xml:space="preserve">1. Определить размер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 в соответствии с </w:t>
      </w:r>
      <w:hyperlink w:anchor="P34" w:history="1">
        <w:r>
          <w:rPr>
            <w:color w:val="0000FF"/>
          </w:rPr>
          <w:t>показателями</w:t>
        </w:r>
      </w:hyperlink>
      <w:r>
        <w:t xml:space="preserve"> согласно приложению к настоящему постановлению.</w:t>
      </w:r>
    </w:p>
    <w:p w:rsidR="00BD7AF1" w:rsidRDefault="00BD7AF1" w:rsidP="00BD7AF1">
      <w:pPr>
        <w:pStyle w:val="ConsPlusNormal"/>
        <w:spacing w:before="220"/>
        <w:ind w:firstLine="540"/>
        <w:jc w:val="both"/>
      </w:pPr>
      <w:r>
        <w:t>2. Комитету по дорожному хозяйству Ленинградской области организовать осуществление расчета, начисления и взимания платы в счет возмещения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 выдачу специальных разрешений на движение по автомобильным дорогам таких транспортных средств.</w:t>
      </w:r>
    </w:p>
    <w:p w:rsidR="00BD7AF1" w:rsidRDefault="00BD7AF1" w:rsidP="00BD7AF1">
      <w:pPr>
        <w:pStyle w:val="ConsPlusNormal"/>
        <w:spacing w:before="220"/>
        <w:ind w:firstLine="540"/>
        <w:jc w:val="both"/>
      </w:pPr>
      <w:r>
        <w:t>3. Признать утратившими силу:</w:t>
      </w:r>
    </w:p>
    <w:p w:rsidR="00BD7AF1" w:rsidRDefault="00BD7AF1" w:rsidP="00BD7AF1">
      <w:pPr>
        <w:pStyle w:val="ConsPlusNormal"/>
        <w:spacing w:before="220"/>
        <w:ind w:firstLine="540"/>
        <w:jc w:val="both"/>
      </w:pPr>
      <w:hyperlink r:id="rId8" w:history="1">
        <w:r>
          <w:rPr>
            <w:color w:val="0000FF"/>
          </w:rPr>
          <w:t>постановление</w:t>
        </w:r>
      </w:hyperlink>
      <w:r>
        <w:t xml:space="preserve"> Правительства Ленинградской области от 22 апреля 2010 года N 97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или межмуниципального значения Ленинградской области";</w:t>
      </w:r>
    </w:p>
    <w:p w:rsidR="00BD7AF1" w:rsidRDefault="00BD7AF1" w:rsidP="00BD7AF1">
      <w:pPr>
        <w:pStyle w:val="ConsPlusNormal"/>
        <w:spacing w:before="220"/>
        <w:ind w:firstLine="540"/>
        <w:jc w:val="both"/>
      </w:pPr>
      <w:hyperlink r:id="rId9" w:history="1">
        <w:r>
          <w:rPr>
            <w:color w:val="0000FF"/>
          </w:rPr>
          <w:t>постановление</w:t>
        </w:r>
      </w:hyperlink>
      <w:r>
        <w:t xml:space="preserve"> Правительства Ленинградской области от 12 октября 2010 года N 264 "О внесении изменения в постановление Правительства Ленинградской области от 22 апреля 2010 года N 97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или межмуниципального значения Ленинградской области";</w:t>
      </w:r>
    </w:p>
    <w:p w:rsidR="00BD7AF1" w:rsidRDefault="00BD7AF1" w:rsidP="00BD7AF1">
      <w:pPr>
        <w:pStyle w:val="ConsPlusNormal"/>
        <w:spacing w:before="220"/>
        <w:ind w:firstLine="540"/>
        <w:jc w:val="both"/>
      </w:pPr>
      <w:hyperlink r:id="rId10" w:history="1">
        <w:r>
          <w:rPr>
            <w:color w:val="0000FF"/>
          </w:rPr>
          <w:t>постановление</w:t>
        </w:r>
      </w:hyperlink>
      <w:r>
        <w:t xml:space="preserve"> Правительства Ленинградской области от 6 сентября 2011 года N 280 "О внесении изменения в постановление Правительства Ленинградской области от 22 апреля 2010 года N 97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или межмуниципального значения Ленинградской области".</w:t>
      </w:r>
    </w:p>
    <w:p w:rsidR="00BD7AF1" w:rsidRDefault="00BD7AF1" w:rsidP="00BD7AF1">
      <w:pPr>
        <w:pStyle w:val="ConsPlusNormal"/>
        <w:spacing w:before="220"/>
        <w:ind w:firstLine="540"/>
        <w:jc w:val="both"/>
      </w:pPr>
      <w:r>
        <w:lastRenderedPageBreak/>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Москвина М.И.</w:t>
      </w:r>
    </w:p>
    <w:p w:rsidR="00BD7AF1" w:rsidRDefault="00BD7AF1" w:rsidP="00BD7AF1">
      <w:pPr>
        <w:pStyle w:val="ConsPlusNormal"/>
        <w:jc w:val="both"/>
      </w:pPr>
    </w:p>
    <w:p w:rsidR="00BD7AF1" w:rsidRDefault="00BD7AF1" w:rsidP="00BD7AF1">
      <w:pPr>
        <w:pStyle w:val="ConsPlusNormal"/>
        <w:jc w:val="right"/>
      </w:pPr>
      <w:r>
        <w:t>Губернатор</w:t>
      </w:r>
    </w:p>
    <w:p w:rsidR="00BD7AF1" w:rsidRDefault="00BD7AF1" w:rsidP="00BD7AF1">
      <w:pPr>
        <w:pStyle w:val="ConsPlusNormal"/>
        <w:jc w:val="right"/>
      </w:pPr>
      <w:r>
        <w:t>Ленинградской области</w:t>
      </w:r>
    </w:p>
    <w:p w:rsidR="00BD7AF1" w:rsidRDefault="00BD7AF1" w:rsidP="00BD7AF1">
      <w:pPr>
        <w:pStyle w:val="ConsPlusNormal"/>
        <w:jc w:val="right"/>
      </w:pPr>
      <w:proofErr w:type="spellStart"/>
      <w:r>
        <w:t>А.Дрозденко</w:t>
      </w:r>
      <w:proofErr w:type="spellEnd"/>
    </w:p>
    <w:p w:rsidR="00BD7AF1" w:rsidRDefault="00BD7AF1" w:rsidP="00BD7AF1">
      <w:pPr>
        <w:pStyle w:val="ConsPlusNormal"/>
        <w:jc w:val="both"/>
      </w:pPr>
    </w:p>
    <w:p w:rsidR="00BD7AF1" w:rsidRDefault="00BD7AF1" w:rsidP="00BD7AF1">
      <w:pPr>
        <w:pStyle w:val="ConsPlusNormal"/>
        <w:jc w:val="both"/>
      </w:pPr>
    </w:p>
    <w:p w:rsidR="00BD7AF1" w:rsidRDefault="00BD7AF1" w:rsidP="00BD7AF1">
      <w:pPr>
        <w:pStyle w:val="ConsPlusNormal"/>
        <w:jc w:val="both"/>
      </w:pPr>
    </w:p>
    <w:p w:rsidR="00BD7AF1" w:rsidRDefault="00BD7AF1" w:rsidP="00BD7AF1">
      <w:pPr>
        <w:pStyle w:val="ConsPlusNormal"/>
        <w:jc w:val="both"/>
      </w:pPr>
    </w:p>
    <w:p w:rsidR="00BD7AF1" w:rsidRDefault="00BD7AF1" w:rsidP="00BD7AF1">
      <w:pPr>
        <w:pStyle w:val="ConsPlusNormal"/>
        <w:jc w:val="both"/>
      </w:pPr>
    </w:p>
    <w:p w:rsidR="00BD7AF1" w:rsidRDefault="00BD7AF1" w:rsidP="00BD7AF1">
      <w:pPr>
        <w:pStyle w:val="ConsPlusNormal"/>
        <w:jc w:val="right"/>
        <w:outlineLvl w:val="0"/>
      </w:pPr>
      <w:r>
        <w:t>ПРИЛОЖЕНИЕ</w:t>
      </w:r>
    </w:p>
    <w:p w:rsidR="00BD7AF1" w:rsidRDefault="00BD7AF1" w:rsidP="00BD7AF1">
      <w:pPr>
        <w:pStyle w:val="ConsPlusNormal"/>
        <w:jc w:val="right"/>
      </w:pPr>
      <w:r>
        <w:t>к постановлению Правительства</w:t>
      </w:r>
    </w:p>
    <w:p w:rsidR="00BD7AF1" w:rsidRDefault="00BD7AF1" w:rsidP="00BD7AF1">
      <w:pPr>
        <w:pStyle w:val="ConsPlusNormal"/>
        <w:jc w:val="right"/>
      </w:pPr>
      <w:r>
        <w:t>Ленинградской области</w:t>
      </w:r>
    </w:p>
    <w:p w:rsidR="00BD7AF1" w:rsidRDefault="00BD7AF1" w:rsidP="00BD7AF1">
      <w:pPr>
        <w:pStyle w:val="ConsPlusNormal"/>
        <w:jc w:val="right"/>
      </w:pPr>
      <w:r>
        <w:t>от 15.02.2016 N 26</w:t>
      </w:r>
    </w:p>
    <w:p w:rsidR="00BD7AF1" w:rsidRDefault="00BD7AF1" w:rsidP="00BD7AF1">
      <w:pPr>
        <w:pStyle w:val="ConsPlusNormal"/>
        <w:jc w:val="both"/>
      </w:pPr>
    </w:p>
    <w:p w:rsidR="00BD7AF1" w:rsidRDefault="00BD7AF1" w:rsidP="00BD7AF1">
      <w:pPr>
        <w:pStyle w:val="ConsPlusTitle"/>
        <w:jc w:val="center"/>
      </w:pPr>
      <w:bookmarkStart w:id="0" w:name="P34"/>
      <w:bookmarkEnd w:id="0"/>
      <w:r>
        <w:t>ПОКАЗАТЕЛИ</w:t>
      </w:r>
    </w:p>
    <w:p w:rsidR="00BD7AF1" w:rsidRDefault="00BD7AF1" w:rsidP="00BD7AF1">
      <w:pPr>
        <w:pStyle w:val="ConsPlusTitle"/>
        <w:jc w:val="center"/>
      </w:pPr>
      <w:r>
        <w:t xml:space="preserve">РАЗМЕРА ВРЕДА, ПРИЧИНЯЕМОГО </w:t>
      </w:r>
      <w:proofErr w:type="gramStart"/>
      <w:r>
        <w:t>ТЯЖЕЛОВЕСНЫМ</w:t>
      </w:r>
      <w:proofErr w:type="gramEnd"/>
      <w:r>
        <w:t xml:space="preserve"> ТРАНСПОРТНЫМ</w:t>
      </w:r>
    </w:p>
    <w:p w:rsidR="00BD7AF1" w:rsidRDefault="00BD7AF1" w:rsidP="00BD7AF1">
      <w:pPr>
        <w:pStyle w:val="ConsPlusTitle"/>
        <w:jc w:val="center"/>
      </w:pPr>
      <w:r>
        <w:t>СРЕДСТВОМ, ПРИ ДВИЖЕНИИ УКАЗАННОГО ТРАНСПОРТНОГО СРЕДСТВА</w:t>
      </w:r>
    </w:p>
    <w:p w:rsidR="00BD7AF1" w:rsidRDefault="00BD7AF1" w:rsidP="00BD7AF1">
      <w:pPr>
        <w:pStyle w:val="ConsPlusTitle"/>
        <w:jc w:val="center"/>
      </w:pPr>
      <w:r>
        <w:t>ПО АВТОМОБИЛЬНЫМ ДОРОГАМ ОБЩЕГО ПОЛЬЗОВАНИЯ РЕГИОНАЛЬНОГО</w:t>
      </w:r>
    </w:p>
    <w:p w:rsidR="00BD7AF1" w:rsidRDefault="00BD7AF1" w:rsidP="00BD7AF1">
      <w:pPr>
        <w:pStyle w:val="ConsPlusTitle"/>
        <w:jc w:val="center"/>
      </w:pPr>
      <w:r>
        <w:t>ИЛИ МЕЖМУНИЦИПАЛЬНОГО ЗНАЧЕНИЯ</w:t>
      </w:r>
    </w:p>
    <w:p w:rsidR="00BD7AF1" w:rsidRDefault="00BD7AF1" w:rsidP="00BD7AF1">
      <w:pPr>
        <w:pStyle w:val="ConsPlusNormal"/>
        <w:jc w:val="both"/>
      </w:pPr>
    </w:p>
    <w:p w:rsidR="00BD7AF1" w:rsidRDefault="00BD7AF1" w:rsidP="00BD7AF1">
      <w:pPr>
        <w:pStyle w:val="ConsPlusNormal"/>
        <w:jc w:val="right"/>
        <w:outlineLvl w:val="1"/>
      </w:pPr>
      <w:r>
        <w:t>Таблица 1</w:t>
      </w:r>
    </w:p>
    <w:p w:rsidR="00BD7AF1" w:rsidRDefault="00BD7AF1" w:rsidP="00BD7AF1">
      <w:pPr>
        <w:pStyle w:val="ConsPlusNormal"/>
        <w:jc w:val="both"/>
      </w:pPr>
    </w:p>
    <w:p w:rsidR="00BD7AF1" w:rsidRDefault="00BD7AF1" w:rsidP="00BD7AF1">
      <w:pPr>
        <w:pStyle w:val="ConsPlusNormal"/>
        <w:jc w:val="center"/>
      </w:pPr>
      <w:bookmarkStart w:id="1" w:name="P42"/>
      <w:bookmarkEnd w:id="1"/>
      <w:r>
        <w:t>Размер</w:t>
      </w:r>
    </w:p>
    <w:p w:rsidR="00BD7AF1" w:rsidRDefault="00BD7AF1" w:rsidP="00BD7AF1">
      <w:pPr>
        <w:pStyle w:val="ConsPlusNormal"/>
        <w:jc w:val="center"/>
      </w:pPr>
      <w:r>
        <w:t>вреда, причиняемого тяжеловесным транспортным средством,</w:t>
      </w:r>
    </w:p>
    <w:p w:rsidR="00BD7AF1" w:rsidRDefault="00BD7AF1" w:rsidP="00BD7AF1">
      <w:pPr>
        <w:pStyle w:val="ConsPlusNormal"/>
        <w:jc w:val="center"/>
      </w:pPr>
      <w:r>
        <w:t>при движении указанного транспортного средства</w:t>
      </w:r>
    </w:p>
    <w:p w:rsidR="00BD7AF1" w:rsidRDefault="00BD7AF1" w:rsidP="00BD7AF1">
      <w:pPr>
        <w:pStyle w:val="ConsPlusNormal"/>
        <w:jc w:val="center"/>
      </w:pPr>
      <w:r>
        <w:t>по автомобильным дорогам общего пользования регионального</w:t>
      </w:r>
    </w:p>
    <w:p w:rsidR="00BD7AF1" w:rsidRDefault="00BD7AF1" w:rsidP="00BD7AF1">
      <w:pPr>
        <w:pStyle w:val="ConsPlusNormal"/>
        <w:jc w:val="center"/>
      </w:pPr>
      <w:r>
        <w:t>или межмуниципального значения вследствие превышения</w:t>
      </w:r>
    </w:p>
    <w:p w:rsidR="00BD7AF1" w:rsidRDefault="00BD7AF1" w:rsidP="00BD7AF1">
      <w:pPr>
        <w:pStyle w:val="ConsPlusNormal"/>
        <w:jc w:val="center"/>
      </w:pPr>
      <w:r>
        <w:t xml:space="preserve">допустимых осевых нагрузок на каждую ось </w:t>
      </w:r>
      <w:proofErr w:type="gramStart"/>
      <w:r>
        <w:t>транспортного</w:t>
      </w:r>
      <w:proofErr w:type="gramEnd"/>
    </w:p>
    <w:p w:rsidR="00BD7AF1" w:rsidRDefault="00BD7AF1" w:rsidP="00BD7AF1">
      <w:pPr>
        <w:pStyle w:val="ConsPlusNormal"/>
        <w:jc w:val="center"/>
      </w:pPr>
      <w:r>
        <w:t>средства</w:t>
      </w:r>
    </w:p>
    <w:p w:rsidR="00BD7AF1" w:rsidRDefault="00BD7AF1" w:rsidP="00BD7AF1">
      <w:pPr>
        <w:pStyle w:val="ConsPlusNormal"/>
        <w:jc w:val="both"/>
      </w:pPr>
    </w:p>
    <w:p w:rsidR="00BD7AF1" w:rsidRDefault="00BD7AF1" w:rsidP="00BD7AF1">
      <w:pPr>
        <w:sectPr w:rsidR="00BD7AF1" w:rsidSect="005E24DF">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07"/>
        <w:gridCol w:w="1644"/>
        <w:gridCol w:w="907"/>
        <w:gridCol w:w="1644"/>
        <w:gridCol w:w="907"/>
        <w:gridCol w:w="1644"/>
      </w:tblGrid>
      <w:tr w:rsidR="00BD7AF1" w:rsidTr="006D421A">
        <w:tc>
          <w:tcPr>
            <w:tcW w:w="1984" w:type="dxa"/>
            <w:vMerge w:val="restart"/>
          </w:tcPr>
          <w:p w:rsidR="00BD7AF1" w:rsidRDefault="00BD7AF1" w:rsidP="006D421A">
            <w:pPr>
              <w:pStyle w:val="ConsPlusNormal"/>
              <w:jc w:val="center"/>
            </w:pPr>
            <w:r>
              <w:lastRenderedPageBreak/>
              <w:t>Превышение предельно допустимых осевых нагрузок на ось транспортного средства (процентов)</w:t>
            </w:r>
          </w:p>
        </w:tc>
        <w:tc>
          <w:tcPr>
            <w:tcW w:w="7653" w:type="dxa"/>
            <w:gridSpan w:val="6"/>
          </w:tcPr>
          <w:p w:rsidR="00BD7AF1" w:rsidRDefault="00BD7AF1" w:rsidP="006D421A">
            <w:pPr>
              <w:pStyle w:val="ConsPlusNormal"/>
              <w:jc w:val="center"/>
            </w:pPr>
            <w:r>
              <w:t>Размер вреда для автомобильных дорог, рассчитанных на нормативную (расчетную) осевую нагрузку (рублей на 100 км)</w:t>
            </w:r>
          </w:p>
        </w:tc>
      </w:tr>
      <w:tr w:rsidR="00BD7AF1" w:rsidTr="006D421A">
        <w:tc>
          <w:tcPr>
            <w:tcW w:w="1984" w:type="dxa"/>
            <w:vMerge/>
          </w:tcPr>
          <w:p w:rsidR="00BD7AF1" w:rsidRDefault="00BD7AF1" w:rsidP="006D421A"/>
        </w:tc>
        <w:tc>
          <w:tcPr>
            <w:tcW w:w="2551" w:type="dxa"/>
            <w:gridSpan w:val="2"/>
          </w:tcPr>
          <w:p w:rsidR="00BD7AF1" w:rsidRDefault="00BD7AF1" w:rsidP="006D421A">
            <w:pPr>
              <w:pStyle w:val="ConsPlusNormal"/>
              <w:jc w:val="center"/>
            </w:pPr>
            <w:r>
              <w:t>6 тонн на ось</w:t>
            </w:r>
          </w:p>
        </w:tc>
        <w:tc>
          <w:tcPr>
            <w:tcW w:w="2551" w:type="dxa"/>
            <w:gridSpan w:val="2"/>
          </w:tcPr>
          <w:p w:rsidR="00BD7AF1" w:rsidRDefault="00BD7AF1" w:rsidP="006D421A">
            <w:pPr>
              <w:pStyle w:val="ConsPlusNormal"/>
              <w:jc w:val="center"/>
            </w:pPr>
            <w:r>
              <w:t>10 тонн на ось</w:t>
            </w:r>
          </w:p>
        </w:tc>
        <w:tc>
          <w:tcPr>
            <w:tcW w:w="2551" w:type="dxa"/>
            <w:gridSpan w:val="2"/>
          </w:tcPr>
          <w:p w:rsidR="00BD7AF1" w:rsidRDefault="00BD7AF1" w:rsidP="006D421A">
            <w:pPr>
              <w:pStyle w:val="ConsPlusNormal"/>
              <w:jc w:val="center"/>
            </w:pPr>
            <w:r>
              <w:t>11,5 тонны на ось</w:t>
            </w:r>
          </w:p>
        </w:tc>
      </w:tr>
      <w:tr w:rsidR="00BD7AF1" w:rsidTr="006D421A">
        <w:tc>
          <w:tcPr>
            <w:tcW w:w="1984" w:type="dxa"/>
            <w:vMerge/>
          </w:tcPr>
          <w:p w:rsidR="00BD7AF1" w:rsidRDefault="00BD7AF1" w:rsidP="006D421A"/>
        </w:tc>
        <w:tc>
          <w:tcPr>
            <w:tcW w:w="907" w:type="dxa"/>
          </w:tcPr>
          <w:p w:rsidR="00BD7AF1" w:rsidRDefault="00BD7AF1" w:rsidP="006D421A">
            <w:pPr>
              <w:pStyle w:val="ConsPlusNormal"/>
              <w:jc w:val="center"/>
            </w:pPr>
            <w:r>
              <w:t>в обычный период</w:t>
            </w:r>
          </w:p>
        </w:tc>
        <w:tc>
          <w:tcPr>
            <w:tcW w:w="1644" w:type="dxa"/>
          </w:tcPr>
          <w:p w:rsidR="00BD7AF1" w:rsidRDefault="00BD7AF1" w:rsidP="006D421A">
            <w:pPr>
              <w:pStyle w:val="ConsPlusNormal"/>
              <w:jc w:val="center"/>
            </w:pPr>
            <w:r>
              <w:t>в период временных ограничений движения транспортных сре</w:t>
            </w:r>
            <w:proofErr w:type="gramStart"/>
            <w:r>
              <w:t>дств в св</w:t>
            </w:r>
            <w:proofErr w:type="gramEnd"/>
            <w:r>
              <w:t>язи с неблагоприятными климатическими условиями</w:t>
            </w:r>
          </w:p>
        </w:tc>
        <w:tc>
          <w:tcPr>
            <w:tcW w:w="907" w:type="dxa"/>
          </w:tcPr>
          <w:p w:rsidR="00BD7AF1" w:rsidRDefault="00BD7AF1" w:rsidP="006D421A">
            <w:pPr>
              <w:pStyle w:val="ConsPlusNormal"/>
              <w:jc w:val="center"/>
            </w:pPr>
            <w:r>
              <w:t>в обычный период</w:t>
            </w:r>
          </w:p>
        </w:tc>
        <w:tc>
          <w:tcPr>
            <w:tcW w:w="1644" w:type="dxa"/>
          </w:tcPr>
          <w:p w:rsidR="00BD7AF1" w:rsidRDefault="00BD7AF1" w:rsidP="006D421A">
            <w:pPr>
              <w:pStyle w:val="ConsPlusNormal"/>
              <w:jc w:val="center"/>
            </w:pPr>
            <w:r>
              <w:t>в период временных ограничений движения транспортных сре</w:t>
            </w:r>
            <w:proofErr w:type="gramStart"/>
            <w:r>
              <w:t>дств в св</w:t>
            </w:r>
            <w:proofErr w:type="gramEnd"/>
            <w:r>
              <w:t>язи с неблагоприятными климатическими условиями</w:t>
            </w:r>
          </w:p>
        </w:tc>
        <w:tc>
          <w:tcPr>
            <w:tcW w:w="907" w:type="dxa"/>
          </w:tcPr>
          <w:p w:rsidR="00BD7AF1" w:rsidRDefault="00BD7AF1" w:rsidP="006D421A">
            <w:pPr>
              <w:pStyle w:val="ConsPlusNormal"/>
              <w:jc w:val="center"/>
            </w:pPr>
            <w:r>
              <w:t>в обычный период</w:t>
            </w:r>
          </w:p>
        </w:tc>
        <w:tc>
          <w:tcPr>
            <w:tcW w:w="1644" w:type="dxa"/>
          </w:tcPr>
          <w:p w:rsidR="00BD7AF1" w:rsidRDefault="00BD7AF1" w:rsidP="006D421A">
            <w:pPr>
              <w:pStyle w:val="ConsPlusNormal"/>
              <w:jc w:val="center"/>
            </w:pPr>
            <w:r>
              <w:t>в период временных ограничений движения транспортных сре</w:t>
            </w:r>
            <w:proofErr w:type="gramStart"/>
            <w:r>
              <w:t>дств в св</w:t>
            </w:r>
            <w:proofErr w:type="gramEnd"/>
            <w:r>
              <w:t>язи с неблагоприятными климатическими условиями</w:t>
            </w:r>
          </w:p>
        </w:tc>
      </w:tr>
      <w:tr w:rsidR="00BD7AF1" w:rsidTr="006D421A">
        <w:tc>
          <w:tcPr>
            <w:tcW w:w="1984" w:type="dxa"/>
          </w:tcPr>
          <w:p w:rsidR="00BD7AF1" w:rsidRDefault="00BD7AF1" w:rsidP="006D421A">
            <w:pPr>
              <w:pStyle w:val="ConsPlusNormal"/>
            </w:pPr>
            <w:r>
              <w:t>До 10</w:t>
            </w:r>
          </w:p>
        </w:tc>
        <w:tc>
          <w:tcPr>
            <w:tcW w:w="907" w:type="dxa"/>
          </w:tcPr>
          <w:p w:rsidR="00BD7AF1" w:rsidRDefault="00BD7AF1" w:rsidP="006D421A">
            <w:pPr>
              <w:pStyle w:val="ConsPlusNormal"/>
              <w:jc w:val="center"/>
            </w:pPr>
            <w:r>
              <w:t>1351</w:t>
            </w:r>
          </w:p>
        </w:tc>
        <w:tc>
          <w:tcPr>
            <w:tcW w:w="1644" w:type="dxa"/>
          </w:tcPr>
          <w:p w:rsidR="00BD7AF1" w:rsidRDefault="00BD7AF1" w:rsidP="006D421A">
            <w:pPr>
              <w:pStyle w:val="ConsPlusNormal"/>
              <w:jc w:val="center"/>
            </w:pPr>
            <w:r>
              <w:t>3861</w:t>
            </w:r>
          </w:p>
        </w:tc>
        <w:tc>
          <w:tcPr>
            <w:tcW w:w="907" w:type="dxa"/>
          </w:tcPr>
          <w:p w:rsidR="00BD7AF1" w:rsidRDefault="00BD7AF1" w:rsidP="006D421A">
            <w:pPr>
              <w:pStyle w:val="ConsPlusNormal"/>
              <w:jc w:val="center"/>
            </w:pPr>
            <w:r>
              <w:t>1144</w:t>
            </w:r>
          </w:p>
        </w:tc>
        <w:tc>
          <w:tcPr>
            <w:tcW w:w="1644" w:type="dxa"/>
          </w:tcPr>
          <w:p w:rsidR="00BD7AF1" w:rsidRDefault="00BD7AF1" w:rsidP="006D421A">
            <w:pPr>
              <w:pStyle w:val="ConsPlusNormal"/>
              <w:jc w:val="center"/>
            </w:pPr>
            <w:r>
              <w:t>3267</w:t>
            </w:r>
          </w:p>
        </w:tc>
        <w:tc>
          <w:tcPr>
            <w:tcW w:w="907" w:type="dxa"/>
          </w:tcPr>
          <w:p w:rsidR="00BD7AF1" w:rsidRDefault="00BD7AF1" w:rsidP="006D421A">
            <w:pPr>
              <w:pStyle w:val="ConsPlusNormal"/>
              <w:jc w:val="center"/>
            </w:pPr>
            <w:r>
              <w:t>990</w:t>
            </w:r>
          </w:p>
        </w:tc>
        <w:tc>
          <w:tcPr>
            <w:tcW w:w="1644" w:type="dxa"/>
          </w:tcPr>
          <w:p w:rsidR="00BD7AF1" w:rsidRDefault="00BD7AF1" w:rsidP="006D421A">
            <w:pPr>
              <w:pStyle w:val="ConsPlusNormal"/>
              <w:jc w:val="center"/>
            </w:pPr>
            <w:r>
              <w:t>2828</w:t>
            </w:r>
          </w:p>
        </w:tc>
      </w:tr>
      <w:tr w:rsidR="00BD7AF1" w:rsidTr="006D421A">
        <w:tc>
          <w:tcPr>
            <w:tcW w:w="1984" w:type="dxa"/>
          </w:tcPr>
          <w:p w:rsidR="00BD7AF1" w:rsidRDefault="00BD7AF1" w:rsidP="006D421A">
            <w:pPr>
              <w:pStyle w:val="ConsPlusNormal"/>
            </w:pPr>
            <w:r>
              <w:t>Свыше 10 до 20</w:t>
            </w:r>
          </w:p>
        </w:tc>
        <w:tc>
          <w:tcPr>
            <w:tcW w:w="907" w:type="dxa"/>
          </w:tcPr>
          <w:p w:rsidR="00BD7AF1" w:rsidRDefault="00BD7AF1" w:rsidP="006D421A">
            <w:pPr>
              <w:pStyle w:val="ConsPlusNormal"/>
              <w:jc w:val="center"/>
            </w:pPr>
            <w:r>
              <w:t>1631</w:t>
            </w:r>
          </w:p>
        </w:tc>
        <w:tc>
          <w:tcPr>
            <w:tcW w:w="1644" w:type="dxa"/>
          </w:tcPr>
          <w:p w:rsidR="00BD7AF1" w:rsidRDefault="00BD7AF1" w:rsidP="006D421A">
            <w:pPr>
              <w:pStyle w:val="ConsPlusNormal"/>
              <w:jc w:val="center"/>
            </w:pPr>
            <w:r>
              <w:t>4661</w:t>
            </w:r>
          </w:p>
        </w:tc>
        <w:tc>
          <w:tcPr>
            <w:tcW w:w="907" w:type="dxa"/>
          </w:tcPr>
          <w:p w:rsidR="00BD7AF1" w:rsidRDefault="00BD7AF1" w:rsidP="006D421A">
            <w:pPr>
              <w:pStyle w:val="ConsPlusNormal"/>
              <w:jc w:val="center"/>
            </w:pPr>
            <w:r>
              <w:t>1380</w:t>
            </w:r>
          </w:p>
        </w:tc>
        <w:tc>
          <w:tcPr>
            <w:tcW w:w="1644" w:type="dxa"/>
          </w:tcPr>
          <w:p w:rsidR="00BD7AF1" w:rsidRDefault="00BD7AF1" w:rsidP="006D421A">
            <w:pPr>
              <w:pStyle w:val="ConsPlusNormal"/>
              <w:jc w:val="center"/>
            </w:pPr>
            <w:r>
              <w:t>3944</w:t>
            </w:r>
          </w:p>
        </w:tc>
        <w:tc>
          <w:tcPr>
            <w:tcW w:w="907" w:type="dxa"/>
          </w:tcPr>
          <w:p w:rsidR="00BD7AF1" w:rsidRDefault="00BD7AF1" w:rsidP="006D421A">
            <w:pPr>
              <w:pStyle w:val="ConsPlusNormal"/>
              <w:jc w:val="center"/>
            </w:pPr>
            <w:r>
              <w:t>1195</w:t>
            </w:r>
          </w:p>
        </w:tc>
        <w:tc>
          <w:tcPr>
            <w:tcW w:w="1644" w:type="dxa"/>
          </w:tcPr>
          <w:p w:rsidR="00BD7AF1" w:rsidRDefault="00BD7AF1" w:rsidP="006D421A">
            <w:pPr>
              <w:pStyle w:val="ConsPlusNormal"/>
              <w:jc w:val="center"/>
            </w:pPr>
            <w:r>
              <w:t>3414</w:t>
            </w:r>
          </w:p>
        </w:tc>
      </w:tr>
      <w:tr w:rsidR="00BD7AF1" w:rsidTr="006D421A">
        <w:tc>
          <w:tcPr>
            <w:tcW w:w="1984" w:type="dxa"/>
          </w:tcPr>
          <w:p w:rsidR="00BD7AF1" w:rsidRDefault="00BD7AF1" w:rsidP="006D421A">
            <w:pPr>
              <w:pStyle w:val="ConsPlusNormal"/>
            </w:pPr>
            <w:r>
              <w:t>Свыше 20 до 30</w:t>
            </w:r>
          </w:p>
        </w:tc>
        <w:tc>
          <w:tcPr>
            <w:tcW w:w="907" w:type="dxa"/>
          </w:tcPr>
          <w:p w:rsidR="00BD7AF1" w:rsidRDefault="00BD7AF1" w:rsidP="006D421A">
            <w:pPr>
              <w:pStyle w:val="ConsPlusNormal"/>
              <w:jc w:val="center"/>
            </w:pPr>
            <w:r>
              <w:t>1721</w:t>
            </w:r>
          </w:p>
        </w:tc>
        <w:tc>
          <w:tcPr>
            <w:tcW w:w="1644" w:type="dxa"/>
          </w:tcPr>
          <w:p w:rsidR="00BD7AF1" w:rsidRDefault="00BD7AF1" w:rsidP="006D421A">
            <w:pPr>
              <w:pStyle w:val="ConsPlusNormal"/>
              <w:jc w:val="center"/>
            </w:pPr>
            <w:r>
              <w:t>4918</w:t>
            </w:r>
          </w:p>
        </w:tc>
        <w:tc>
          <w:tcPr>
            <w:tcW w:w="907" w:type="dxa"/>
          </w:tcPr>
          <w:p w:rsidR="00BD7AF1" w:rsidRDefault="00BD7AF1" w:rsidP="006D421A">
            <w:pPr>
              <w:pStyle w:val="ConsPlusNormal"/>
              <w:jc w:val="center"/>
            </w:pPr>
            <w:r>
              <w:t>1456</w:t>
            </w:r>
          </w:p>
        </w:tc>
        <w:tc>
          <w:tcPr>
            <w:tcW w:w="1644" w:type="dxa"/>
          </w:tcPr>
          <w:p w:rsidR="00BD7AF1" w:rsidRDefault="00BD7AF1" w:rsidP="006D421A">
            <w:pPr>
              <w:pStyle w:val="ConsPlusNormal"/>
              <w:jc w:val="center"/>
            </w:pPr>
            <w:r>
              <w:t>4161</w:t>
            </w:r>
          </w:p>
        </w:tc>
        <w:tc>
          <w:tcPr>
            <w:tcW w:w="907" w:type="dxa"/>
          </w:tcPr>
          <w:p w:rsidR="00BD7AF1" w:rsidRDefault="00BD7AF1" w:rsidP="006D421A">
            <w:pPr>
              <w:pStyle w:val="ConsPlusNormal"/>
              <w:jc w:val="center"/>
            </w:pPr>
            <w:r>
              <w:t>1261</w:t>
            </w:r>
          </w:p>
        </w:tc>
        <w:tc>
          <w:tcPr>
            <w:tcW w:w="1644" w:type="dxa"/>
          </w:tcPr>
          <w:p w:rsidR="00BD7AF1" w:rsidRDefault="00BD7AF1" w:rsidP="006D421A">
            <w:pPr>
              <w:pStyle w:val="ConsPlusNormal"/>
              <w:jc w:val="center"/>
            </w:pPr>
            <w:r>
              <w:t>3603</w:t>
            </w:r>
          </w:p>
        </w:tc>
      </w:tr>
      <w:tr w:rsidR="00BD7AF1" w:rsidTr="006D421A">
        <w:tc>
          <w:tcPr>
            <w:tcW w:w="1984" w:type="dxa"/>
          </w:tcPr>
          <w:p w:rsidR="00BD7AF1" w:rsidRDefault="00BD7AF1" w:rsidP="006D421A">
            <w:pPr>
              <w:pStyle w:val="ConsPlusNormal"/>
            </w:pPr>
            <w:r>
              <w:t>Свыше 30 до 40</w:t>
            </w:r>
          </w:p>
        </w:tc>
        <w:tc>
          <w:tcPr>
            <w:tcW w:w="907" w:type="dxa"/>
          </w:tcPr>
          <w:p w:rsidR="00BD7AF1" w:rsidRDefault="00BD7AF1" w:rsidP="006D421A">
            <w:pPr>
              <w:pStyle w:val="ConsPlusNormal"/>
              <w:jc w:val="center"/>
            </w:pPr>
            <w:r>
              <w:t>1802</w:t>
            </w:r>
          </w:p>
        </w:tc>
        <w:tc>
          <w:tcPr>
            <w:tcW w:w="1644" w:type="dxa"/>
          </w:tcPr>
          <w:p w:rsidR="00BD7AF1" w:rsidRDefault="00BD7AF1" w:rsidP="006D421A">
            <w:pPr>
              <w:pStyle w:val="ConsPlusNormal"/>
              <w:jc w:val="center"/>
            </w:pPr>
            <w:r>
              <w:t>5148</w:t>
            </w:r>
          </w:p>
        </w:tc>
        <w:tc>
          <w:tcPr>
            <w:tcW w:w="907" w:type="dxa"/>
          </w:tcPr>
          <w:p w:rsidR="00BD7AF1" w:rsidRDefault="00BD7AF1" w:rsidP="006D421A">
            <w:pPr>
              <w:pStyle w:val="ConsPlusNormal"/>
              <w:jc w:val="center"/>
            </w:pPr>
            <w:r>
              <w:t>1525</w:t>
            </w:r>
          </w:p>
        </w:tc>
        <w:tc>
          <w:tcPr>
            <w:tcW w:w="1644" w:type="dxa"/>
          </w:tcPr>
          <w:p w:rsidR="00BD7AF1" w:rsidRDefault="00BD7AF1" w:rsidP="006D421A">
            <w:pPr>
              <w:pStyle w:val="ConsPlusNormal"/>
              <w:jc w:val="center"/>
            </w:pPr>
            <w:r>
              <w:t>4356</w:t>
            </w:r>
          </w:p>
        </w:tc>
        <w:tc>
          <w:tcPr>
            <w:tcW w:w="907" w:type="dxa"/>
          </w:tcPr>
          <w:p w:rsidR="00BD7AF1" w:rsidRDefault="00BD7AF1" w:rsidP="006D421A">
            <w:pPr>
              <w:pStyle w:val="ConsPlusNormal"/>
              <w:jc w:val="center"/>
            </w:pPr>
            <w:r>
              <w:t>1320</w:t>
            </w:r>
          </w:p>
        </w:tc>
        <w:tc>
          <w:tcPr>
            <w:tcW w:w="1644" w:type="dxa"/>
          </w:tcPr>
          <w:p w:rsidR="00BD7AF1" w:rsidRDefault="00BD7AF1" w:rsidP="006D421A">
            <w:pPr>
              <w:pStyle w:val="ConsPlusNormal"/>
              <w:jc w:val="center"/>
            </w:pPr>
            <w:r>
              <w:t>3771</w:t>
            </w:r>
          </w:p>
        </w:tc>
      </w:tr>
      <w:tr w:rsidR="00BD7AF1" w:rsidTr="006D421A">
        <w:tc>
          <w:tcPr>
            <w:tcW w:w="1984" w:type="dxa"/>
          </w:tcPr>
          <w:p w:rsidR="00BD7AF1" w:rsidRDefault="00BD7AF1" w:rsidP="006D421A">
            <w:pPr>
              <w:pStyle w:val="ConsPlusNormal"/>
            </w:pPr>
            <w:r>
              <w:t>Свыше 40 до 50</w:t>
            </w:r>
          </w:p>
        </w:tc>
        <w:tc>
          <w:tcPr>
            <w:tcW w:w="907" w:type="dxa"/>
          </w:tcPr>
          <w:p w:rsidR="00BD7AF1" w:rsidRDefault="00BD7AF1" w:rsidP="006D421A">
            <w:pPr>
              <w:pStyle w:val="ConsPlusNormal"/>
              <w:jc w:val="center"/>
            </w:pPr>
            <w:r>
              <w:t>1884</w:t>
            </w:r>
          </w:p>
        </w:tc>
        <w:tc>
          <w:tcPr>
            <w:tcW w:w="1644" w:type="dxa"/>
          </w:tcPr>
          <w:p w:rsidR="00BD7AF1" w:rsidRDefault="00BD7AF1" w:rsidP="006D421A">
            <w:pPr>
              <w:pStyle w:val="ConsPlusNormal"/>
              <w:jc w:val="center"/>
            </w:pPr>
            <w:r>
              <w:t>5382</w:t>
            </w:r>
          </w:p>
        </w:tc>
        <w:tc>
          <w:tcPr>
            <w:tcW w:w="907" w:type="dxa"/>
          </w:tcPr>
          <w:p w:rsidR="00BD7AF1" w:rsidRDefault="00BD7AF1" w:rsidP="006D421A">
            <w:pPr>
              <w:pStyle w:val="ConsPlusNormal"/>
              <w:jc w:val="center"/>
            </w:pPr>
            <w:r>
              <w:t>1594</w:t>
            </w:r>
          </w:p>
        </w:tc>
        <w:tc>
          <w:tcPr>
            <w:tcW w:w="1644" w:type="dxa"/>
          </w:tcPr>
          <w:p w:rsidR="00BD7AF1" w:rsidRDefault="00BD7AF1" w:rsidP="006D421A">
            <w:pPr>
              <w:pStyle w:val="ConsPlusNormal"/>
              <w:jc w:val="center"/>
            </w:pPr>
            <w:r>
              <w:t>4554</w:t>
            </w:r>
          </w:p>
        </w:tc>
        <w:tc>
          <w:tcPr>
            <w:tcW w:w="907" w:type="dxa"/>
          </w:tcPr>
          <w:p w:rsidR="00BD7AF1" w:rsidRDefault="00BD7AF1" w:rsidP="006D421A">
            <w:pPr>
              <w:pStyle w:val="ConsPlusNormal"/>
              <w:jc w:val="center"/>
            </w:pPr>
            <w:r>
              <w:t>1380</w:t>
            </w:r>
          </w:p>
        </w:tc>
        <w:tc>
          <w:tcPr>
            <w:tcW w:w="1644" w:type="dxa"/>
          </w:tcPr>
          <w:p w:rsidR="00BD7AF1" w:rsidRDefault="00BD7AF1" w:rsidP="006D421A">
            <w:pPr>
              <w:pStyle w:val="ConsPlusNormal"/>
              <w:jc w:val="center"/>
            </w:pPr>
            <w:r>
              <w:t>3943</w:t>
            </w:r>
          </w:p>
        </w:tc>
      </w:tr>
      <w:tr w:rsidR="00BD7AF1" w:rsidTr="006D421A">
        <w:tc>
          <w:tcPr>
            <w:tcW w:w="1984" w:type="dxa"/>
          </w:tcPr>
          <w:p w:rsidR="00BD7AF1" w:rsidRDefault="00BD7AF1" w:rsidP="006D421A">
            <w:pPr>
              <w:pStyle w:val="ConsPlusNormal"/>
            </w:pPr>
            <w:r>
              <w:t>Свыше 50 до 60</w:t>
            </w:r>
          </w:p>
        </w:tc>
        <w:tc>
          <w:tcPr>
            <w:tcW w:w="907" w:type="dxa"/>
          </w:tcPr>
          <w:p w:rsidR="00BD7AF1" w:rsidRDefault="00BD7AF1" w:rsidP="006D421A">
            <w:pPr>
              <w:pStyle w:val="ConsPlusNormal"/>
              <w:jc w:val="center"/>
            </w:pPr>
            <w:r>
              <w:t>1972</w:t>
            </w:r>
          </w:p>
        </w:tc>
        <w:tc>
          <w:tcPr>
            <w:tcW w:w="1644" w:type="dxa"/>
          </w:tcPr>
          <w:p w:rsidR="00BD7AF1" w:rsidRDefault="00BD7AF1" w:rsidP="006D421A">
            <w:pPr>
              <w:pStyle w:val="ConsPlusNormal"/>
              <w:jc w:val="center"/>
            </w:pPr>
            <w:r>
              <w:t>5636</w:t>
            </w:r>
          </w:p>
        </w:tc>
        <w:tc>
          <w:tcPr>
            <w:tcW w:w="907" w:type="dxa"/>
          </w:tcPr>
          <w:p w:rsidR="00BD7AF1" w:rsidRDefault="00BD7AF1" w:rsidP="006D421A">
            <w:pPr>
              <w:pStyle w:val="ConsPlusNormal"/>
              <w:jc w:val="center"/>
            </w:pPr>
            <w:r>
              <w:t>1669</w:t>
            </w:r>
          </w:p>
        </w:tc>
        <w:tc>
          <w:tcPr>
            <w:tcW w:w="1644" w:type="dxa"/>
          </w:tcPr>
          <w:p w:rsidR="00BD7AF1" w:rsidRDefault="00BD7AF1" w:rsidP="006D421A">
            <w:pPr>
              <w:pStyle w:val="ConsPlusNormal"/>
              <w:jc w:val="center"/>
            </w:pPr>
            <w:r>
              <w:t>4769</w:t>
            </w:r>
          </w:p>
        </w:tc>
        <w:tc>
          <w:tcPr>
            <w:tcW w:w="907" w:type="dxa"/>
          </w:tcPr>
          <w:p w:rsidR="00BD7AF1" w:rsidRDefault="00BD7AF1" w:rsidP="006D421A">
            <w:pPr>
              <w:pStyle w:val="ConsPlusNormal"/>
              <w:jc w:val="center"/>
            </w:pPr>
            <w:r>
              <w:t>1445</w:t>
            </w:r>
          </w:p>
        </w:tc>
        <w:tc>
          <w:tcPr>
            <w:tcW w:w="1644" w:type="dxa"/>
          </w:tcPr>
          <w:p w:rsidR="00BD7AF1" w:rsidRDefault="00BD7AF1" w:rsidP="006D421A">
            <w:pPr>
              <w:pStyle w:val="ConsPlusNormal"/>
              <w:jc w:val="center"/>
            </w:pPr>
            <w:r>
              <w:t>4129</w:t>
            </w:r>
          </w:p>
        </w:tc>
      </w:tr>
      <w:tr w:rsidR="00BD7AF1" w:rsidTr="006D421A">
        <w:tc>
          <w:tcPr>
            <w:tcW w:w="1984" w:type="dxa"/>
          </w:tcPr>
          <w:p w:rsidR="00BD7AF1" w:rsidRDefault="00BD7AF1" w:rsidP="006D421A">
            <w:pPr>
              <w:pStyle w:val="ConsPlusNormal"/>
            </w:pPr>
            <w:r>
              <w:t>Свыше 60</w:t>
            </w:r>
          </w:p>
        </w:tc>
        <w:tc>
          <w:tcPr>
            <w:tcW w:w="7653" w:type="dxa"/>
            <w:gridSpan w:val="6"/>
          </w:tcPr>
          <w:p w:rsidR="00BD7AF1" w:rsidRDefault="00BD7AF1" w:rsidP="006D421A">
            <w:pPr>
              <w:pStyle w:val="ConsPlusNormal"/>
              <w:jc w:val="both"/>
            </w:pPr>
            <w:proofErr w:type="gramStart"/>
            <w:r>
              <w:t xml:space="preserve">Рассчитывается по формулам, приведенным в </w:t>
            </w:r>
            <w:hyperlink r:id="rId11"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Правилами возмещения вреда, причиняемого транспортными средствами, осуществляющими перевозки тяжеловесных грузов, утвержденными постановлением </w:t>
            </w:r>
            <w:r>
              <w:lastRenderedPageBreak/>
              <w:t>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roofErr w:type="gramEnd"/>
          </w:p>
        </w:tc>
      </w:tr>
    </w:tbl>
    <w:p w:rsidR="00BD7AF1" w:rsidRDefault="00BD7AF1" w:rsidP="00BD7AF1">
      <w:pPr>
        <w:pStyle w:val="ConsPlusNormal"/>
        <w:jc w:val="both"/>
      </w:pPr>
    </w:p>
    <w:p w:rsidR="00BD7AF1" w:rsidRDefault="00BD7AF1" w:rsidP="00BD7AF1">
      <w:pPr>
        <w:pStyle w:val="ConsPlusNormal"/>
        <w:jc w:val="right"/>
        <w:outlineLvl w:val="1"/>
      </w:pPr>
      <w:r>
        <w:t>Таблица 2</w:t>
      </w:r>
    </w:p>
    <w:p w:rsidR="00BD7AF1" w:rsidRDefault="00BD7AF1" w:rsidP="00BD7AF1">
      <w:pPr>
        <w:pStyle w:val="ConsPlusNormal"/>
        <w:jc w:val="both"/>
      </w:pPr>
    </w:p>
    <w:p w:rsidR="00BD7AF1" w:rsidRDefault="00BD7AF1" w:rsidP="00BD7AF1">
      <w:pPr>
        <w:pStyle w:val="ConsPlusNormal"/>
        <w:jc w:val="center"/>
      </w:pPr>
      <w:bookmarkStart w:id="2" w:name="P108"/>
      <w:bookmarkEnd w:id="2"/>
      <w:r>
        <w:t>Размер</w:t>
      </w:r>
    </w:p>
    <w:p w:rsidR="00BD7AF1" w:rsidRDefault="00BD7AF1" w:rsidP="00BD7AF1">
      <w:pPr>
        <w:pStyle w:val="ConsPlusNormal"/>
        <w:jc w:val="center"/>
      </w:pPr>
      <w:r>
        <w:t>вреда, причиняемого тяжеловесным транспортным средством,</w:t>
      </w:r>
    </w:p>
    <w:p w:rsidR="00BD7AF1" w:rsidRDefault="00BD7AF1" w:rsidP="00BD7AF1">
      <w:pPr>
        <w:pStyle w:val="ConsPlusNormal"/>
        <w:jc w:val="center"/>
      </w:pPr>
      <w:r>
        <w:t>при движении указанного транспортного средства</w:t>
      </w:r>
    </w:p>
    <w:p w:rsidR="00BD7AF1" w:rsidRDefault="00BD7AF1" w:rsidP="00BD7AF1">
      <w:pPr>
        <w:pStyle w:val="ConsPlusNormal"/>
        <w:jc w:val="center"/>
      </w:pPr>
      <w:r>
        <w:t>по автомобильным дорогам общего пользования регионального</w:t>
      </w:r>
    </w:p>
    <w:p w:rsidR="00BD7AF1" w:rsidRDefault="00BD7AF1" w:rsidP="00BD7AF1">
      <w:pPr>
        <w:pStyle w:val="ConsPlusNormal"/>
        <w:jc w:val="center"/>
      </w:pPr>
      <w:r>
        <w:t>или межмуниципального значения вследствие превышения</w:t>
      </w:r>
    </w:p>
    <w:p w:rsidR="00BD7AF1" w:rsidRDefault="00BD7AF1" w:rsidP="00BD7AF1">
      <w:pPr>
        <w:pStyle w:val="ConsPlusNormal"/>
        <w:jc w:val="center"/>
      </w:pPr>
      <w:r>
        <w:t>значения допустимой массы транспортного средства</w:t>
      </w:r>
    </w:p>
    <w:p w:rsidR="00BD7AF1" w:rsidRDefault="00BD7AF1" w:rsidP="00BD7A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427"/>
      </w:tblGrid>
      <w:tr w:rsidR="00BD7AF1" w:rsidTr="006D421A">
        <w:tc>
          <w:tcPr>
            <w:tcW w:w="2211" w:type="dxa"/>
          </w:tcPr>
          <w:p w:rsidR="00BD7AF1" w:rsidRDefault="00BD7AF1" w:rsidP="006D421A">
            <w:pPr>
              <w:pStyle w:val="ConsPlusNormal"/>
              <w:jc w:val="center"/>
            </w:pPr>
            <w:r>
              <w:t>Превышение допустимой массы (процентов)</w:t>
            </w:r>
          </w:p>
        </w:tc>
        <w:tc>
          <w:tcPr>
            <w:tcW w:w="7427" w:type="dxa"/>
          </w:tcPr>
          <w:p w:rsidR="00BD7AF1" w:rsidRDefault="00BD7AF1" w:rsidP="006D421A">
            <w:pPr>
              <w:pStyle w:val="ConsPlusNormal"/>
              <w:jc w:val="center"/>
            </w:pPr>
            <w:r>
              <w:t>Размер вреда (рублей на 100 км)</w:t>
            </w:r>
          </w:p>
        </w:tc>
      </w:tr>
      <w:tr w:rsidR="00BD7AF1" w:rsidTr="006D421A">
        <w:tc>
          <w:tcPr>
            <w:tcW w:w="2211" w:type="dxa"/>
          </w:tcPr>
          <w:p w:rsidR="00BD7AF1" w:rsidRDefault="00BD7AF1" w:rsidP="006D421A">
            <w:pPr>
              <w:pStyle w:val="ConsPlusNormal"/>
            </w:pPr>
            <w:r>
              <w:t>До 10</w:t>
            </w:r>
          </w:p>
        </w:tc>
        <w:tc>
          <w:tcPr>
            <w:tcW w:w="7427" w:type="dxa"/>
          </w:tcPr>
          <w:p w:rsidR="00BD7AF1" w:rsidRDefault="00BD7AF1" w:rsidP="006D421A">
            <w:pPr>
              <w:pStyle w:val="ConsPlusNormal"/>
              <w:jc w:val="center"/>
            </w:pPr>
            <w:r>
              <w:t>2709</w:t>
            </w:r>
          </w:p>
        </w:tc>
      </w:tr>
      <w:tr w:rsidR="00BD7AF1" w:rsidTr="006D421A">
        <w:tc>
          <w:tcPr>
            <w:tcW w:w="2211" w:type="dxa"/>
          </w:tcPr>
          <w:p w:rsidR="00BD7AF1" w:rsidRDefault="00BD7AF1" w:rsidP="006D421A">
            <w:pPr>
              <w:pStyle w:val="ConsPlusNormal"/>
            </w:pPr>
            <w:r>
              <w:t>Свыше 10 до 20</w:t>
            </w:r>
          </w:p>
        </w:tc>
        <w:tc>
          <w:tcPr>
            <w:tcW w:w="7427" w:type="dxa"/>
          </w:tcPr>
          <w:p w:rsidR="00BD7AF1" w:rsidRDefault="00BD7AF1" w:rsidP="006D421A">
            <w:pPr>
              <w:pStyle w:val="ConsPlusNormal"/>
              <w:jc w:val="center"/>
            </w:pPr>
            <w:r>
              <w:t>3098</w:t>
            </w:r>
          </w:p>
        </w:tc>
      </w:tr>
      <w:tr w:rsidR="00BD7AF1" w:rsidTr="006D421A">
        <w:tc>
          <w:tcPr>
            <w:tcW w:w="2211" w:type="dxa"/>
          </w:tcPr>
          <w:p w:rsidR="00BD7AF1" w:rsidRDefault="00BD7AF1" w:rsidP="006D421A">
            <w:pPr>
              <w:pStyle w:val="ConsPlusNormal"/>
            </w:pPr>
            <w:r>
              <w:t>Свыше 20 до 30</w:t>
            </w:r>
          </w:p>
        </w:tc>
        <w:tc>
          <w:tcPr>
            <w:tcW w:w="7427" w:type="dxa"/>
          </w:tcPr>
          <w:p w:rsidR="00BD7AF1" w:rsidRDefault="00BD7AF1" w:rsidP="006D421A">
            <w:pPr>
              <w:pStyle w:val="ConsPlusNormal"/>
              <w:jc w:val="center"/>
            </w:pPr>
            <w:r>
              <w:t>3487</w:t>
            </w:r>
          </w:p>
        </w:tc>
      </w:tr>
      <w:tr w:rsidR="00BD7AF1" w:rsidTr="006D421A">
        <w:tc>
          <w:tcPr>
            <w:tcW w:w="2211" w:type="dxa"/>
          </w:tcPr>
          <w:p w:rsidR="00BD7AF1" w:rsidRDefault="00BD7AF1" w:rsidP="006D421A">
            <w:pPr>
              <w:pStyle w:val="ConsPlusNormal"/>
            </w:pPr>
            <w:r>
              <w:t>Свыше 30 до 40</w:t>
            </w:r>
          </w:p>
        </w:tc>
        <w:tc>
          <w:tcPr>
            <w:tcW w:w="7427" w:type="dxa"/>
          </w:tcPr>
          <w:p w:rsidR="00BD7AF1" w:rsidRDefault="00BD7AF1" w:rsidP="006D421A">
            <w:pPr>
              <w:pStyle w:val="ConsPlusNormal"/>
              <w:jc w:val="center"/>
            </w:pPr>
            <w:r>
              <w:t>3876</w:t>
            </w:r>
          </w:p>
        </w:tc>
      </w:tr>
      <w:tr w:rsidR="00BD7AF1" w:rsidTr="006D421A">
        <w:tc>
          <w:tcPr>
            <w:tcW w:w="2211" w:type="dxa"/>
          </w:tcPr>
          <w:p w:rsidR="00BD7AF1" w:rsidRDefault="00BD7AF1" w:rsidP="006D421A">
            <w:pPr>
              <w:pStyle w:val="ConsPlusNormal"/>
            </w:pPr>
            <w:r>
              <w:t>Свыше 40 до 50</w:t>
            </w:r>
          </w:p>
        </w:tc>
        <w:tc>
          <w:tcPr>
            <w:tcW w:w="7427" w:type="dxa"/>
          </w:tcPr>
          <w:p w:rsidR="00BD7AF1" w:rsidRDefault="00BD7AF1" w:rsidP="006D421A">
            <w:pPr>
              <w:pStyle w:val="ConsPlusNormal"/>
              <w:jc w:val="center"/>
            </w:pPr>
            <w:r>
              <w:t>4265</w:t>
            </w:r>
          </w:p>
        </w:tc>
      </w:tr>
      <w:tr w:rsidR="00BD7AF1" w:rsidTr="006D421A">
        <w:tc>
          <w:tcPr>
            <w:tcW w:w="2211" w:type="dxa"/>
          </w:tcPr>
          <w:p w:rsidR="00BD7AF1" w:rsidRDefault="00BD7AF1" w:rsidP="006D421A">
            <w:pPr>
              <w:pStyle w:val="ConsPlusNormal"/>
            </w:pPr>
            <w:r>
              <w:t>Свыше 50 до 60</w:t>
            </w:r>
          </w:p>
        </w:tc>
        <w:tc>
          <w:tcPr>
            <w:tcW w:w="7427" w:type="dxa"/>
          </w:tcPr>
          <w:p w:rsidR="00BD7AF1" w:rsidRDefault="00BD7AF1" w:rsidP="006D421A">
            <w:pPr>
              <w:pStyle w:val="ConsPlusNormal"/>
              <w:jc w:val="center"/>
            </w:pPr>
            <w:r>
              <w:t>4654</w:t>
            </w:r>
          </w:p>
        </w:tc>
      </w:tr>
      <w:tr w:rsidR="00BD7AF1" w:rsidTr="006D421A">
        <w:tc>
          <w:tcPr>
            <w:tcW w:w="2211" w:type="dxa"/>
          </w:tcPr>
          <w:p w:rsidR="00BD7AF1" w:rsidRDefault="00BD7AF1" w:rsidP="006D421A">
            <w:pPr>
              <w:pStyle w:val="ConsPlusNormal"/>
            </w:pPr>
            <w:r>
              <w:t>Свыше 60</w:t>
            </w:r>
          </w:p>
        </w:tc>
        <w:tc>
          <w:tcPr>
            <w:tcW w:w="7427" w:type="dxa"/>
          </w:tcPr>
          <w:p w:rsidR="00BD7AF1" w:rsidRDefault="00BD7AF1" w:rsidP="006D421A">
            <w:pPr>
              <w:pStyle w:val="ConsPlusNormal"/>
              <w:jc w:val="both"/>
            </w:pPr>
            <w:proofErr w:type="gramStart"/>
            <w:r>
              <w:t xml:space="preserve">Рассчитывается по формулам, приведенным в </w:t>
            </w:r>
            <w:hyperlink r:id="rId12"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Правилами возмещения </w:t>
            </w:r>
            <w:r>
              <w:lastRenderedPageBreak/>
              <w:t>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roofErr w:type="gramEnd"/>
          </w:p>
        </w:tc>
      </w:tr>
    </w:tbl>
    <w:p w:rsidR="00BD7AF1" w:rsidRDefault="00BD7AF1" w:rsidP="00BD7AF1">
      <w:pPr>
        <w:pStyle w:val="ConsPlusNormal"/>
        <w:jc w:val="both"/>
      </w:pPr>
    </w:p>
    <w:p w:rsidR="00BD7AF1" w:rsidRDefault="00BD7AF1" w:rsidP="00BD7AF1">
      <w:pPr>
        <w:pStyle w:val="ConsPlusNormal"/>
        <w:ind w:firstLine="540"/>
        <w:jc w:val="both"/>
      </w:pPr>
      <w:r>
        <w:t>Примечание.</w:t>
      </w:r>
    </w:p>
    <w:p w:rsidR="00BD7AF1" w:rsidRDefault="00BD7AF1" w:rsidP="00BD7AF1">
      <w:pPr>
        <w:pStyle w:val="ConsPlusNormal"/>
        <w:spacing w:before="220"/>
        <w:ind w:firstLine="540"/>
        <w:jc w:val="both"/>
      </w:pPr>
      <w:proofErr w:type="gramStart"/>
      <w:r>
        <w:t xml:space="preserve">Расчет показателей размера вреда, не указанных в </w:t>
      </w:r>
      <w:hyperlink w:anchor="P42" w:history="1">
        <w:r>
          <w:rPr>
            <w:color w:val="0000FF"/>
          </w:rPr>
          <w:t>таблицах 1</w:t>
        </w:r>
      </w:hyperlink>
      <w:r>
        <w:t xml:space="preserve"> и </w:t>
      </w:r>
      <w:hyperlink w:anchor="P108" w:history="1">
        <w:r>
          <w:rPr>
            <w:color w:val="0000FF"/>
          </w:rPr>
          <w:t>2</w:t>
        </w:r>
      </w:hyperlink>
      <w:r>
        <w:t xml:space="preserve">, осуществляется по формулам, приведенным в </w:t>
      </w:r>
      <w:hyperlink r:id="rId13"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w:t>
      </w:r>
      <w:proofErr w:type="gramEnd"/>
      <w:r>
        <w:t xml:space="preserve"> по автомобильным дорогам Российской Федерации".</w:t>
      </w:r>
    </w:p>
    <w:p w:rsidR="00BD7AF1" w:rsidRDefault="00BD7AF1" w:rsidP="00BD7AF1">
      <w:pPr>
        <w:pStyle w:val="ConsPlusNormal"/>
        <w:jc w:val="both"/>
      </w:pPr>
    </w:p>
    <w:p w:rsidR="00BD7AF1" w:rsidRDefault="00BD7AF1" w:rsidP="00BD7AF1">
      <w:pPr>
        <w:pStyle w:val="ConsPlusNormal"/>
        <w:jc w:val="right"/>
        <w:outlineLvl w:val="1"/>
      </w:pPr>
      <w:r>
        <w:t>Таблица 3</w:t>
      </w:r>
    </w:p>
    <w:p w:rsidR="00BD7AF1" w:rsidRDefault="00BD7AF1" w:rsidP="00BD7AF1">
      <w:pPr>
        <w:pStyle w:val="ConsPlusNormal"/>
        <w:jc w:val="both"/>
      </w:pPr>
    </w:p>
    <w:p w:rsidR="00BD7AF1" w:rsidRDefault="00BD7AF1" w:rsidP="00BD7AF1">
      <w:pPr>
        <w:pStyle w:val="ConsPlusNormal"/>
        <w:jc w:val="center"/>
      </w:pPr>
      <w:r>
        <w:t xml:space="preserve">Исходное значение размера вреда, причиняемого </w:t>
      </w:r>
      <w:proofErr w:type="gramStart"/>
      <w:r>
        <w:t>транспортным</w:t>
      </w:r>
      <w:proofErr w:type="gramEnd"/>
    </w:p>
    <w:p w:rsidR="00BD7AF1" w:rsidRDefault="00BD7AF1" w:rsidP="00BD7AF1">
      <w:pPr>
        <w:pStyle w:val="ConsPlusNormal"/>
        <w:jc w:val="center"/>
      </w:pPr>
      <w:r>
        <w:t>средством, при превышении допустимых осевых нагрузок</w:t>
      </w:r>
    </w:p>
    <w:p w:rsidR="00BD7AF1" w:rsidRDefault="00BD7AF1" w:rsidP="00BD7AF1">
      <w:pPr>
        <w:pStyle w:val="ConsPlusNormal"/>
        <w:jc w:val="center"/>
      </w:pPr>
      <w:proofErr w:type="gramStart"/>
      <w:r>
        <w:t>для автомобильной дороги на 5 процентов, и постоянные</w:t>
      </w:r>
      <w:proofErr w:type="gramEnd"/>
    </w:p>
    <w:p w:rsidR="00BD7AF1" w:rsidRDefault="00BD7AF1" w:rsidP="00BD7AF1">
      <w:pPr>
        <w:pStyle w:val="ConsPlusNormal"/>
        <w:jc w:val="center"/>
      </w:pPr>
      <w:r>
        <w:t>коэффициенты для автомобильных дорог общего пользования</w:t>
      </w:r>
    </w:p>
    <w:p w:rsidR="00BD7AF1" w:rsidRDefault="00BD7AF1" w:rsidP="00BD7AF1">
      <w:pPr>
        <w:pStyle w:val="ConsPlusNormal"/>
        <w:jc w:val="center"/>
      </w:pPr>
      <w:r>
        <w:t>регионального или межмуниципального значения</w:t>
      </w:r>
    </w:p>
    <w:p w:rsidR="00BD7AF1" w:rsidRDefault="00BD7AF1" w:rsidP="00BD7A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2324"/>
        <w:gridCol w:w="964"/>
        <w:gridCol w:w="964"/>
        <w:gridCol w:w="964"/>
        <w:gridCol w:w="964"/>
      </w:tblGrid>
      <w:tr w:rsidR="00BD7AF1" w:rsidTr="006D421A">
        <w:tc>
          <w:tcPr>
            <w:tcW w:w="567" w:type="dxa"/>
            <w:vMerge w:val="restart"/>
          </w:tcPr>
          <w:p w:rsidR="00BD7AF1" w:rsidRDefault="00BD7AF1" w:rsidP="006D421A">
            <w:pPr>
              <w:pStyle w:val="ConsPlusNormal"/>
              <w:jc w:val="center"/>
            </w:pPr>
            <w:r>
              <w:t xml:space="preserve">N </w:t>
            </w:r>
            <w:proofErr w:type="gramStart"/>
            <w:r>
              <w:t>п</w:t>
            </w:r>
            <w:proofErr w:type="gramEnd"/>
            <w:r>
              <w:t>/п</w:t>
            </w:r>
          </w:p>
        </w:tc>
        <w:tc>
          <w:tcPr>
            <w:tcW w:w="2891" w:type="dxa"/>
            <w:vMerge w:val="restart"/>
          </w:tcPr>
          <w:p w:rsidR="00BD7AF1" w:rsidRDefault="00BD7AF1" w:rsidP="006D421A">
            <w:pPr>
              <w:pStyle w:val="ConsPlusNormal"/>
              <w:jc w:val="center"/>
            </w:pPr>
            <w:r>
              <w:t>Нормативная (расчетная) осевая нагрузка для дорог (тонн на ось)</w:t>
            </w:r>
          </w:p>
        </w:tc>
        <w:tc>
          <w:tcPr>
            <w:tcW w:w="2324" w:type="dxa"/>
            <w:vMerge w:val="restart"/>
          </w:tcPr>
          <w:p w:rsidR="00BD7AF1" w:rsidRDefault="00BD7AF1" w:rsidP="006D421A">
            <w:pPr>
              <w:pStyle w:val="ConsPlusNormal"/>
              <w:jc w:val="center"/>
            </w:pPr>
            <w:r>
              <w:t>Исходное значение размера вреда (рублей на 100 км)</w:t>
            </w:r>
          </w:p>
        </w:tc>
        <w:tc>
          <w:tcPr>
            <w:tcW w:w="3856" w:type="dxa"/>
            <w:gridSpan w:val="4"/>
          </w:tcPr>
          <w:p w:rsidR="00BD7AF1" w:rsidRDefault="00BD7AF1" w:rsidP="006D421A">
            <w:pPr>
              <w:pStyle w:val="ConsPlusNormal"/>
              <w:jc w:val="center"/>
            </w:pPr>
            <w:r>
              <w:t>Постоянные коэффициенты</w:t>
            </w:r>
          </w:p>
        </w:tc>
      </w:tr>
      <w:tr w:rsidR="00BD7AF1" w:rsidTr="006D421A">
        <w:tc>
          <w:tcPr>
            <w:tcW w:w="567" w:type="dxa"/>
            <w:vMerge/>
          </w:tcPr>
          <w:p w:rsidR="00BD7AF1" w:rsidRDefault="00BD7AF1" w:rsidP="006D421A"/>
        </w:tc>
        <w:tc>
          <w:tcPr>
            <w:tcW w:w="2891" w:type="dxa"/>
            <w:vMerge/>
          </w:tcPr>
          <w:p w:rsidR="00BD7AF1" w:rsidRDefault="00BD7AF1" w:rsidP="006D421A"/>
        </w:tc>
        <w:tc>
          <w:tcPr>
            <w:tcW w:w="2324" w:type="dxa"/>
            <w:vMerge/>
          </w:tcPr>
          <w:p w:rsidR="00BD7AF1" w:rsidRDefault="00BD7AF1" w:rsidP="006D421A"/>
        </w:tc>
        <w:tc>
          <w:tcPr>
            <w:tcW w:w="964" w:type="dxa"/>
          </w:tcPr>
          <w:p w:rsidR="00BD7AF1" w:rsidRDefault="00BD7AF1" w:rsidP="006D421A">
            <w:pPr>
              <w:pStyle w:val="ConsPlusNormal"/>
              <w:jc w:val="center"/>
            </w:pPr>
            <w:r>
              <w:t>a</w:t>
            </w:r>
          </w:p>
        </w:tc>
        <w:tc>
          <w:tcPr>
            <w:tcW w:w="964" w:type="dxa"/>
          </w:tcPr>
          <w:p w:rsidR="00BD7AF1" w:rsidRDefault="00BD7AF1" w:rsidP="006D421A">
            <w:pPr>
              <w:pStyle w:val="ConsPlusNormal"/>
              <w:jc w:val="center"/>
            </w:pPr>
            <w:r>
              <w:t>b</w:t>
            </w:r>
          </w:p>
        </w:tc>
        <w:tc>
          <w:tcPr>
            <w:tcW w:w="964" w:type="dxa"/>
          </w:tcPr>
          <w:p w:rsidR="00BD7AF1" w:rsidRDefault="00BD7AF1" w:rsidP="006D421A">
            <w:pPr>
              <w:pStyle w:val="ConsPlusNormal"/>
              <w:jc w:val="center"/>
            </w:pPr>
            <w:r>
              <w:t>c</w:t>
            </w:r>
          </w:p>
        </w:tc>
        <w:tc>
          <w:tcPr>
            <w:tcW w:w="964" w:type="dxa"/>
          </w:tcPr>
          <w:p w:rsidR="00BD7AF1" w:rsidRDefault="00BD7AF1" w:rsidP="006D421A">
            <w:pPr>
              <w:pStyle w:val="ConsPlusNormal"/>
              <w:jc w:val="center"/>
            </w:pPr>
            <w:r>
              <w:t>d</w:t>
            </w:r>
          </w:p>
        </w:tc>
      </w:tr>
      <w:tr w:rsidR="00BD7AF1" w:rsidTr="006D421A">
        <w:tc>
          <w:tcPr>
            <w:tcW w:w="567" w:type="dxa"/>
          </w:tcPr>
          <w:p w:rsidR="00BD7AF1" w:rsidRDefault="00BD7AF1" w:rsidP="006D421A">
            <w:pPr>
              <w:pStyle w:val="ConsPlusNormal"/>
              <w:jc w:val="center"/>
            </w:pPr>
            <w:r>
              <w:t>1</w:t>
            </w:r>
          </w:p>
        </w:tc>
        <w:tc>
          <w:tcPr>
            <w:tcW w:w="2891" w:type="dxa"/>
          </w:tcPr>
          <w:p w:rsidR="00BD7AF1" w:rsidRDefault="00BD7AF1" w:rsidP="006D421A">
            <w:pPr>
              <w:pStyle w:val="ConsPlusNormal"/>
              <w:jc w:val="center"/>
            </w:pPr>
            <w:r>
              <w:t>6</w:t>
            </w:r>
          </w:p>
        </w:tc>
        <w:tc>
          <w:tcPr>
            <w:tcW w:w="2324" w:type="dxa"/>
          </w:tcPr>
          <w:p w:rsidR="00BD7AF1" w:rsidRDefault="00BD7AF1" w:rsidP="006D421A">
            <w:pPr>
              <w:pStyle w:val="ConsPlusNormal"/>
              <w:jc w:val="center"/>
            </w:pPr>
            <w:r>
              <w:t>2400</w:t>
            </w:r>
          </w:p>
        </w:tc>
        <w:tc>
          <w:tcPr>
            <w:tcW w:w="964" w:type="dxa"/>
          </w:tcPr>
          <w:p w:rsidR="00BD7AF1" w:rsidRDefault="00BD7AF1" w:rsidP="006D421A">
            <w:pPr>
              <w:pStyle w:val="ConsPlusNormal"/>
              <w:jc w:val="center"/>
            </w:pPr>
            <w:r>
              <w:t>1,63</w:t>
            </w:r>
          </w:p>
        </w:tc>
        <w:tc>
          <w:tcPr>
            <w:tcW w:w="964" w:type="dxa"/>
          </w:tcPr>
          <w:p w:rsidR="00BD7AF1" w:rsidRDefault="00BD7AF1" w:rsidP="006D421A">
            <w:pPr>
              <w:pStyle w:val="ConsPlusNormal"/>
              <w:jc w:val="center"/>
            </w:pPr>
            <w:r>
              <w:t>0,27</w:t>
            </w:r>
          </w:p>
        </w:tc>
        <w:tc>
          <w:tcPr>
            <w:tcW w:w="964" w:type="dxa"/>
          </w:tcPr>
          <w:p w:rsidR="00BD7AF1" w:rsidRDefault="00BD7AF1" w:rsidP="006D421A">
            <w:pPr>
              <w:pStyle w:val="ConsPlusNormal"/>
              <w:jc w:val="center"/>
            </w:pPr>
            <w:r>
              <w:t>3016</w:t>
            </w:r>
          </w:p>
        </w:tc>
        <w:tc>
          <w:tcPr>
            <w:tcW w:w="964" w:type="dxa"/>
          </w:tcPr>
          <w:p w:rsidR="00BD7AF1" w:rsidRDefault="00BD7AF1" w:rsidP="006D421A">
            <w:pPr>
              <w:pStyle w:val="ConsPlusNormal"/>
              <w:jc w:val="center"/>
            </w:pPr>
            <w:r>
              <w:t>16,29</w:t>
            </w:r>
          </w:p>
        </w:tc>
      </w:tr>
      <w:tr w:rsidR="00BD7AF1" w:rsidTr="006D421A">
        <w:tc>
          <w:tcPr>
            <w:tcW w:w="567" w:type="dxa"/>
          </w:tcPr>
          <w:p w:rsidR="00BD7AF1" w:rsidRDefault="00BD7AF1" w:rsidP="006D421A">
            <w:pPr>
              <w:pStyle w:val="ConsPlusNormal"/>
              <w:jc w:val="center"/>
            </w:pPr>
            <w:r>
              <w:t>2</w:t>
            </w:r>
          </w:p>
        </w:tc>
        <w:tc>
          <w:tcPr>
            <w:tcW w:w="2891" w:type="dxa"/>
          </w:tcPr>
          <w:p w:rsidR="00BD7AF1" w:rsidRDefault="00BD7AF1" w:rsidP="006D421A">
            <w:pPr>
              <w:pStyle w:val="ConsPlusNormal"/>
              <w:jc w:val="center"/>
            </w:pPr>
            <w:r>
              <w:t>10</w:t>
            </w:r>
          </w:p>
        </w:tc>
        <w:tc>
          <w:tcPr>
            <w:tcW w:w="2324" w:type="dxa"/>
          </w:tcPr>
          <w:p w:rsidR="00BD7AF1" w:rsidRDefault="00BD7AF1" w:rsidP="006D421A">
            <w:pPr>
              <w:pStyle w:val="ConsPlusNormal"/>
              <w:jc w:val="center"/>
            </w:pPr>
            <w:r>
              <w:t>2020</w:t>
            </w:r>
          </w:p>
        </w:tc>
        <w:tc>
          <w:tcPr>
            <w:tcW w:w="964" w:type="dxa"/>
          </w:tcPr>
          <w:p w:rsidR="00BD7AF1" w:rsidRDefault="00BD7AF1" w:rsidP="006D421A">
            <w:pPr>
              <w:pStyle w:val="ConsPlusNormal"/>
              <w:jc w:val="center"/>
            </w:pPr>
            <w:r>
              <w:t>24,01</w:t>
            </w:r>
          </w:p>
        </w:tc>
        <w:tc>
          <w:tcPr>
            <w:tcW w:w="964" w:type="dxa"/>
          </w:tcPr>
          <w:p w:rsidR="00BD7AF1" w:rsidRDefault="00BD7AF1" w:rsidP="006D421A">
            <w:pPr>
              <w:pStyle w:val="ConsPlusNormal"/>
              <w:jc w:val="center"/>
            </w:pPr>
            <w:r>
              <w:t>2,4</w:t>
            </w:r>
          </w:p>
        </w:tc>
        <w:tc>
          <w:tcPr>
            <w:tcW w:w="964" w:type="dxa"/>
          </w:tcPr>
          <w:p w:rsidR="00BD7AF1" w:rsidRDefault="00BD7AF1" w:rsidP="006D421A">
            <w:pPr>
              <w:pStyle w:val="ConsPlusNormal"/>
              <w:jc w:val="center"/>
            </w:pPr>
            <w:r>
              <w:t>3016</w:t>
            </w:r>
          </w:p>
        </w:tc>
        <w:tc>
          <w:tcPr>
            <w:tcW w:w="964" w:type="dxa"/>
          </w:tcPr>
          <w:p w:rsidR="00BD7AF1" w:rsidRDefault="00BD7AF1" w:rsidP="006D421A">
            <w:pPr>
              <w:pStyle w:val="ConsPlusNormal"/>
              <w:jc w:val="center"/>
            </w:pPr>
            <w:r>
              <w:t>16,29</w:t>
            </w:r>
          </w:p>
        </w:tc>
      </w:tr>
      <w:tr w:rsidR="00BD7AF1" w:rsidTr="006D421A">
        <w:tc>
          <w:tcPr>
            <w:tcW w:w="567" w:type="dxa"/>
          </w:tcPr>
          <w:p w:rsidR="00BD7AF1" w:rsidRDefault="00BD7AF1" w:rsidP="006D421A">
            <w:pPr>
              <w:pStyle w:val="ConsPlusNormal"/>
              <w:jc w:val="center"/>
            </w:pPr>
            <w:r>
              <w:t>3</w:t>
            </w:r>
          </w:p>
        </w:tc>
        <w:tc>
          <w:tcPr>
            <w:tcW w:w="2891" w:type="dxa"/>
          </w:tcPr>
          <w:p w:rsidR="00BD7AF1" w:rsidRDefault="00BD7AF1" w:rsidP="006D421A">
            <w:pPr>
              <w:pStyle w:val="ConsPlusNormal"/>
              <w:jc w:val="center"/>
            </w:pPr>
            <w:r>
              <w:t>11,5</w:t>
            </w:r>
          </w:p>
        </w:tc>
        <w:tc>
          <w:tcPr>
            <w:tcW w:w="2324" w:type="dxa"/>
          </w:tcPr>
          <w:p w:rsidR="00BD7AF1" w:rsidRDefault="00BD7AF1" w:rsidP="006D421A">
            <w:pPr>
              <w:pStyle w:val="ConsPlusNormal"/>
              <w:jc w:val="center"/>
            </w:pPr>
            <w:r>
              <w:t>1744</w:t>
            </w:r>
          </w:p>
        </w:tc>
        <w:tc>
          <w:tcPr>
            <w:tcW w:w="964" w:type="dxa"/>
          </w:tcPr>
          <w:p w:rsidR="00BD7AF1" w:rsidRDefault="00BD7AF1" w:rsidP="006D421A">
            <w:pPr>
              <w:pStyle w:val="ConsPlusNormal"/>
              <w:jc w:val="center"/>
            </w:pPr>
            <w:r>
              <w:t>31,06</w:t>
            </w:r>
          </w:p>
        </w:tc>
        <w:tc>
          <w:tcPr>
            <w:tcW w:w="964" w:type="dxa"/>
          </w:tcPr>
          <w:p w:rsidR="00BD7AF1" w:rsidRDefault="00BD7AF1" w:rsidP="006D421A">
            <w:pPr>
              <w:pStyle w:val="ConsPlusNormal"/>
              <w:jc w:val="center"/>
            </w:pPr>
            <w:r>
              <w:t>2,7</w:t>
            </w:r>
          </w:p>
        </w:tc>
        <w:tc>
          <w:tcPr>
            <w:tcW w:w="964" w:type="dxa"/>
          </w:tcPr>
          <w:p w:rsidR="00BD7AF1" w:rsidRDefault="00BD7AF1" w:rsidP="006D421A">
            <w:pPr>
              <w:pStyle w:val="ConsPlusNormal"/>
              <w:jc w:val="center"/>
            </w:pPr>
            <w:r>
              <w:t>3016</w:t>
            </w:r>
          </w:p>
        </w:tc>
        <w:tc>
          <w:tcPr>
            <w:tcW w:w="964" w:type="dxa"/>
          </w:tcPr>
          <w:p w:rsidR="00BD7AF1" w:rsidRDefault="00BD7AF1" w:rsidP="006D421A">
            <w:pPr>
              <w:pStyle w:val="ConsPlusNormal"/>
              <w:jc w:val="center"/>
            </w:pPr>
            <w:r>
              <w:t>16,29</w:t>
            </w:r>
          </w:p>
        </w:tc>
      </w:tr>
    </w:tbl>
    <w:p w:rsidR="00BD7AF1" w:rsidRDefault="00BD7AF1" w:rsidP="00BD7AF1">
      <w:pPr>
        <w:pStyle w:val="ConsPlusNormal"/>
        <w:jc w:val="both"/>
      </w:pPr>
    </w:p>
    <w:p w:rsidR="00BD7AF1" w:rsidRDefault="00BD7AF1" w:rsidP="00BD7AF1">
      <w:pPr>
        <w:pStyle w:val="ConsPlusNormal"/>
        <w:jc w:val="both"/>
      </w:pPr>
    </w:p>
    <w:p w:rsidR="00BD7AF1" w:rsidRDefault="00BD7AF1" w:rsidP="00BD7AF1">
      <w:pPr>
        <w:pStyle w:val="ConsPlusNormal"/>
        <w:pBdr>
          <w:top w:val="single" w:sz="6" w:space="0" w:color="auto"/>
        </w:pBdr>
        <w:spacing w:before="100" w:after="100"/>
        <w:jc w:val="both"/>
        <w:rPr>
          <w:sz w:val="2"/>
          <w:szCs w:val="2"/>
        </w:rPr>
      </w:pPr>
    </w:p>
    <w:p w:rsidR="00BD7AF1" w:rsidRDefault="00BD7AF1" w:rsidP="00BD7AF1"/>
    <w:p w:rsidR="00300F73" w:rsidRDefault="00300F73">
      <w:bookmarkStart w:id="3" w:name="_GoBack"/>
      <w:bookmarkEnd w:id="3"/>
    </w:p>
    <w:sectPr w:rsidR="00300F73" w:rsidSect="00707498">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7E"/>
    <w:rsid w:val="00300F73"/>
    <w:rsid w:val="007378ED"/>
    <w:rsid w:val="00861A7E"/>
    <w:rsid w:val="00BD7AF1"/>
    <w:rsid w:val="00E04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A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7A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AF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A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7A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A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994E2E7530B8171525BDB0D253CE68103EC2DC1798DEE46B429CD2E16AE9F0044792796147ABC16781337CC09q2G" TargetMode="External"/><Relationship Id="rId13" Type="http://schemas.openxmlformats.org/officeDocument/2006/relationships/hyperlink" Target="consultantplus://offline/ref=60E994E2E7530B81715244CA18253CE68104E026CD7A8DEE46B429CD2E16AE9F1244212993166FE84F22443ACF99C04E976D7BCBA706q8G" TargetMode="External"/><Relationship Id="rId3" Type="http://schemas.openxmlformats.org/officeDocument/2006/relationships/settings" Target="settings.xml"/><Relationship Id="rId7" Type="http://schemas.openxmlformats.org/officeDocument/2006/relationships/hyperlink" Target="consultantplus://offline/ref=60E994E2E7530B81715244CA18253CE68104E026CD7A8DEE46B429CD2E16AE9F1244212B941664BE196D456689CED34C9D6D79C3B863ECA207qDG" TargetMode="External"/><Relationship Id="rId12" Type="http://schemas.openxmlformats.org/officeDocument/2006/relationships/hyperlink" Target="consultantplus://offline/ref=60E994E2E7530B81715244CA18253CE68104E026CD7A8DEE46B429CD2E16AE9F1244212993166FE84F22443ACF99C04E976D7BCBA706q8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E994E2E7530B81715244CA18253CE68301E427C77B8DEE46B429CD2E16AE9F1244212B951F6FE84F22443ACF99C04E976D7BCBA706q8G" TargetMode="External"/><Relationship Id="rId11" Type="http://schemas.openxmlformats.org/officeDocument/2006/relationships/hyperlink" Target="consultantplus://offline/ref=60E994E2E7530B81715244CA18253CE68104E026CD7A8DEE46B429CD2E16AE9F1244212993166FE84F22443ACF99C04E976D7BCBA706q8G"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60E994E2E7530B8171525BDB0D253CE68103E32EC07F8DEE46B429CD2E16AE9F0044792796147ABC16781337CC09q2G" TargetMode="External"/><Relationship Id="rId4" Type="http://schemas.openxmlformats.org/officeDocument/2006/relationships/webSettings" Target="webSettings.xml"/><Relationship Id="rId9" Type="http://schemas.openxmlformats.org/officeDocument/2006/relationships/hyperlink" Target="consultantplus://offline/ref=60E994E2E7530B8171525BDB0D253CE68102E728C1708DEE46B429CD2E16AE9F0044792796147ABC16781337CC09q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2</cp:revision>
  <dcterms:created xsi:type="dcterms:W3CDTF">2019-08-22T06:43:00Z</dcterms:created>
  <dcterms:modified xsi:type="dcterms:W3CDTF">2019-08-22T06:43:00Z</dcterms:modified>
</cp:coreProperties>
</file>