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D8" w:rsidRDefault="00BA1ED8" w:rsidP="00022BF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УТВЕРЖДЕНА </w:t>
      </w:r>
    </w:p>
    <w:p w:rsidR="00691F7E" w:rsidRDefault="00BA1ED8" w:rsidP="00691F7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</w:t>
      </w:r>
      <w:r w:rsidR="00022BF1" w:rsidRPr="00022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F7E">
        <w:rPr>
          <w:rFonts w:ascii="Times New Roman" w:hAnsi="Times New Roman" w:cs="Times New Roman"/>
          <w:bCs/>
          <w:sz w:val="28"/>
          <w:szCs w:val="28"/>
        </w:rPr>
        <w:t>К</w:t>
      </w:r>
      <w:r w:rsidR="00022BF1" w:rsidRPr="00022BF1">
        <w:rPr>
          <w:rFonts w:ascii="Times New Roman" w:hAnsi="Times New Roman" w:cs="Times New Roman"/>
          <w:bCs/>
          <w:sz w:val="28"/>
          <w:szCs w:val="28"/>
        </w:rPr>
        <w:t xml:space="preserve">омитета по </w:t>
      </w:r>
      <w:r w:rsidR="00691F7E">
        <w:rPr>
          <w:rFonts w:ascii="Times New Roman" w:hAnsi="Times New Roman" w:cs="Times New Roman"/>
          <w:bCs/>
          <w:sz w:val="28"/>
          <w:szCs w:val="28"/>
        </w:rPr>
        <w:t>дорожному хозяйству</w:t>
      </w:r>
    </w:p>
    <w:p w:rsidR="00022BF1" w:rsidRPr="00022BF1" w:rsidRDefault="00022BF1" w:rsidP="00691F7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2BF1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022BF1" w:rsidRPr="00022BF1" w:rsidRDefault="00022BF1" w:rsidP="00022BF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BF1" w:rsidRPr="00022BF1" w:rsidRDefault="00516615" w:rsidP="00022BF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22BF1" w:rsidRPr="00022BF1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BF1" w:rsidRPr="00022BF1">
        <w:rPr>
          <w:rFonts w:ascii="Times New Roman" w:hAnsi="Times New Roman" w:cs="Times New Roman"/>
          <w:bCs/>
          <w:sz w:val="28"/>
          <w:szCs w:val="28"/>
        </w:rPr>
        <w:t>«___»____________202</w:t>
      </w:r>
      <w:r w:rsidR="00691F7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BF1" w:rsidRPr="00022BF1">
        <w:rPr>
          <w:rFonts w:ascii="Times New Roman" w:hAnsi="Times New Roman" w:cs="Times New Roman"/>
          <w:bCs/>
          <w:sz w:val="28"/>
          <w:szCs w:val="28"/>
        </w:rPr>
        <w:t>г. №___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022BF1" w:rsidRPr="00022BF1">
        <w:rPr>
          <w:rFonts w:ascii="Times New Roman" w:hAnsi="Times New Roman" w:cs="Times New Roman"/>
          <w:bCs/>
          <w:sz w:val="28"/>
          <w:szCs w:val="28"/>
        </w:rPr>
        <w:t>_</w:t>
      </w:r>
    </w:p>
    <w:p w:rsidR="00022BF1" w:rsidRDefault="00BA1ED8" w:rsidP="00BA1ED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BA1ED8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BA1ED8" w:rsidRDefault="00BA1ED8" w:rsidP="00022B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1F7E" w:rsidRDefault="00691F7E" w:rsidP="00022B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1ED8" w:rsidRDefault="00022BF1" w:rsidP="00022B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7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Методика </w:t>
      </w:r>
      <w:proofErr w:type="gramStart"/>
      <w:r w:rsidRPr="00007F09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формирования рейтингов перспективных объектов инвестиций</w:t>
      </w:r>
      <w:r w:rsidR="00C256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муниципальных образований Ленинградской</w:t>
      </w:r>
      <w:proofErr w:type="gramEnd"/>
      <w:r w:rsidR="00C256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</w:t>
      </w:r>
      <w:r w:rsidR="00691F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691F7E" w:rsidRPr="00691F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предлагаемых для включения в подпрограмму «Развитие сети автомобильных дорог общего пользования» государственной программы Ленинградской области </w:t>
      </w:r>
      <w:r w:rsidR="00C256A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91F7E" w:rsidRPr="00691F7E">
        <w:rPr>
          <w:rFonts w:ascii="Times New Roman" w:hAnsi="Times New Roman" w:cs="Times New Roman"/>
          <w:b/>
          <w:color w:val="000000"/>
          <w:sz w:val="28"/>
          <w:szCs w:val="28"/>
        </w:rPr>
        <w:t>«Развитие транспортной системы Ленинградской области»</w:t>
      </w:r>
    </w:p>
    <w:p w:rsidR="00691F7E" w:rsidRDefault="00691F7E" w:rsidP="00022B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78FE" w:rsidRDefault="00DA78FE" w:rsidP="00DA78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E">
        <w:rPr>
          <w:rFonts w:ascii="Times New Roman" w:hAnsi="Times New Roman" w:cs="Times New Roman"/>
          <w:sz w:val="28"/>
          <w:szCs w:val="28"/>
        </w:rPr>
        <w:t xml:space="preserve">1. </w:t>
      </w:r>
      <w:r w:rsidR="00022BF1" w:rsidRPr="00DA78FE">
        <w:rPr>
          <w:rFonts w:ascii="Times New Roman" w:hAnsi="Times New Roman" w:cs="Times New Roman"/>
          <w:sz w:val="28"/>
          <w:szCs w:val="28"/>
        </w:rPr>
        <w:t>Настоящая Методика разработана в соответствии с</w:t>
      </w:r>
      <w:r w:rsidR="00C256A3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E2644E" w:rsidRPr="00E2644E">
        <w:rPr>
          <w:rFonts w:ascii="Times New Roman" w:hAnsi="Times New Roman" w:cs="Times New Roman"/>
          <w:sz w:val="28"/>
          <w:szCs w:val="28"/>
        </w:rPr>
        <w:t>1.5.</w:t>
      </w:r>
      <w:r w:rsidR="00E2644E">
        <w:rPr>
          <w:rFonts w:ascii="Times New Roman" w:hAnsi="Times New Roman" w:cs="Times New Roman"/>
          <w:sz w:val="28"/>
          <w:szCs w:val="28"/>
        </w:rPr>
        <w:t xml:space="preserve"> </w:t>
      </w:r>
      <w:r w:rsidR="00022BF1" w:rsidRPr="00DA78F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2644E">
        <w:rPr>
          <w:rFonts w:ascii="Times New Roman" w:hAnsi="Times New Roman" w:cs="Times New Roman"/>
          <w:sz w:val="28"/>
          <w:szCs w:val="28"/>
        </w:rPr>
        <w:t>я</w:t>
      </w:r>
      <w:r w:rsidR="00022BF1" w:rsidRPr="00DA78FE">
        <w:rPr>
          <w:rFonts w:ascii="Times New Roman" w:hAnsi="Times New Roman" w:cs="Times New Roman"/>
          <w:sz w:val="28"/>
          <w:szCs w:val="28"/>
        </w:rPr>
        <w:t xml:space="preserve"> </w:t>
      </w:r>
      <w:r w:rsidR="002710F8">
        <w:rPr>
          <w:rFonts w:ascii="Times New Roman" w:hAnsi="Times New Roman" w:cs="Times New Roman"/>
          <w:sz w:val="28"/>
          <w:szCs w:val="28"/>
        </w:rPr>
        <w:br/>
      </w:r>
      <w:r w:rsidR="00022BF1" w:rsidRPr="00DA78FE">
        <w:rPr>
          <w:rFonts w:ascii="Times New Roman" w:hAnsi="Times New Roman" w:cs="Times New Roman"/>
          <w:sz w:val="28"/>
          <w:szCs w:val="28"/>
        </w:rPr>
        <w:t>о формировании и реализации адресной инвестиционной программ</w:t>
      </w:r>
      <w:r w:rsidR="00CC0918" w:rsidRPr="00DA78FE">
        <w:rPr>
          <w:rFonts w:ascii="Times New Roman" w:hAnsi="Times New Roman" w:cs="Times New Roman"/>
          <w:sz w:val="28"/>
          <w:szCs w:val="28"/>
        </w:rPr>
        <w:t>ы</w:t>
      </w:r>
      <w:r w:rsidR="00022BF1" w:rsidRPr="00DA78F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B3097" w:rsidRPr="00DA78F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FB3097" w:rsidRPr="00DA78F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Ленинградской области </w:t>
      </w:r>
      <w:r w:rsidR="002710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3097" w:rsidRPr="00DA78F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D427F" w:rsidRPr="00BD427F">
        <w:rPr>
          <w:rFonts w:ascii="Times New Roman" w:hAnsi="Times New Roman" w:cs="Times New Roman"/>
          <w:color w:val="000000"/>
          <w:sz w:val="28"/>
          <w:szCs w:val="28"/>
        </w:rPr>
        <w:t xml:space="preserve">25 января 2019 года № 10 </w:t>
      </w:r>
      <w:r w:rsidR="00B14536" w:rsidRPr="00DA78FE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BD427F">
        <w:rPr>
          <w:rFonts w:ascii="Times New Roman" w:hAnsi="Times New Roman" w:cs="Times New Roman"/>
          <w:sz w:val="28"/>
          <w:szCs w:val="28"/>
        </w:rPr>
        <w:t xml:space="preserve"> и</w:t>
      </w:r>
      <w:r w:rsidR="00E2644E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BD427F" w:rsidRPr="00BD427F">
        <w:rPr>
          <w:rFonts w:ascii="Times New Roman" w:hAnsi="Times New Roman" w:cs="Times New Roman"/>
          <w:sz w:val="28"/>
          <w:szCs w:val="28"/>
        </w:rPr>
        <w:t>4.7.</w:t>
      </w:r>
      <w:r w:rsidR="00BD4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27F" w:rsidRPr="00BD427F">
        <w:rPr>
          <w:rFonts w:ascii="Times New Roman" w:hAnsi="Times New Roman" w:cs="Times New Roman"/>
          <w:sz w:val="28"/>
          <w:szCs w:val="28"/>
        </w:rPr>
        <w:t>Поряд</w:t>
      </w:r>
      <w:r w:rsidR="00BD427F">
        <w:rPr>
          <w:rFonts w:ascii="Times New Roman" w:hAnsi="Times New Roman" w:cs="Times New Roman"/>
          <w:sz w:val="28"/>
          <w:szCs w:val="28"/>
        </w:rPr>
        <w:t>ка</w:t>
      </w:r>
      <w:r w:rsidR="00BD427F" w:rsidRPr="00BD427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строительство (реконструкцию), включая проектирование, автомобильных дорог общего пользования местного значения</w:t>
      </w:r>
      <w:r w:rsidR="00BD427F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Ленинградской области </w:t>
      </w:r>
      <w:r w:rsidR="00BD427F" w:rsidRPr="00BD427F">
        <w:rPr>
          <w:rFonts w:ascii="Times New Roman" w:hAnsi="Times New Roman" w:cs="Times New Roman"/>
          <w:sz w:val="28"/>
          <w:szCs w:val="28"/>
        </w:rPr>
        <w:t>от 14 ноября 2013 г</w:t>
      </w:r>
      <w:r w:rsidR="00BD427F">
        <w:rPr>
          <w:rFonts w:ascii="Times New Roman" w:hAnsi="Times New Roman" w:cs="Times New Roman"/>
          <w:sz w:val="28"/>
          <w:szCs w:val="28"/>
        </w:rPr>
        <w:t>ода</w:t>
      </w:r>
      <w:r w:rsidR="00BD427F">
        <w:rPr>
          <w:rFonts w:ascii="Times New Roman" w:hAnsi="Times New Roman" w:cs="Times New Roman"/>
          <w:sz w:val="28"/>
          <w:szCs w:val="28"/>
        </w:rPr>
        <w:br/>
        <w:t>№</w:t>
      </w:r>
      <w:r w:rsidR="00BD427F" w:rsidRPr="00BD427F">
        <w:rPr>
          <w:rFonts w:ascii="Times New Roman" w:hAnsi="Times New Roman" w:cs="Times New Roman"/>
          <w:sz w:val="28"/>
          <w:szCs w:val="28"/>
        </w:rPr>
        <w:t xml:space="preserve"> 397</w:t>
      </w:r>
      <w:r w:rsidR="00BD427F">
        <w:rPr>
          <w:rFonts w:ascii="Times New Roman" w:hAnsi="Times New Roman" w:cs="Times New Roman"/>
          <w:sz w:val="28"/>
          <w:szCs w:val="28"/>
        </w:rPr>
        <w:t xml:space="preserve"> «</w:t>
      </w:r>
      <w:r w:rsidR="00BD427F" w:rsidRPr="00BD427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Ленинградской области </w:t>
      </w:r>
      <w:r w:rsidR="00BD427F">
        <w:rPr>
          <w:rFonts w:ascii="Times New Roman" w:hAnsi="Times New Roman" w:cs="Times New Roman"/>
          <w:sz w:val="28"/>
          <w:szCs w:val="28"/>
        </w:rPr>
        <w:t>«</w:t>
      </w:r>
      <w:r w:rsidR="00BD427F" w:rsidRPr="00BD427F">
        <w:rPr>
          <w:rFonts w:ascii="Times New Roman" w:hAnsi="Times New Roman" w:cs="Times New Roman"/>
          <w:sz w:val="28"/>
          <w:szCs w:val="28"/>
        </w:rPr>
        <w:t>Развитие транспортной системы Ленинградской области</w:t>
      </w:r>
      <w:r w:rsidR="00BD427F">
        <w:rPr>
          <w:rFonts w:ascii="Times New Roman" w:hAnsi="Times New Roman" w:cs="Times New Roman"/>
          <w:sz w:val="28"/>
          <w:szCs w:val="28"/>
        </w:rPr>
        <w:t>», и</w:t>
      </w:r>
      <w:r w:rsidR="00022BF1" w:rsidRPr="00DA78FE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516615" w:rsidRPr="00DA78FE">
        <w:rPr>
          <w:rFonts w:ascii="Times New Roman" w:hAnsi="Times New Roman" w:cs="Times New Roman"/>
          <w:sz w:val="28"/>
          <w:szCs w:val="28"/>
        </w:rPr>
        <w:t>порядок</w:t>
      </w:r>
      <w:r w:rsidR="00022BF1" w:rsidRPr="00DA78FE">
        <w:rPr>
          <w:rFonts w:ascii="Times New Roman" w:hAnsi="Times New Roman" w:cs="Times New Roman"/>
          <w:sz w:val="28"/>
          <w:szCs w:val="28"/>
        </w:rPr>
        <w:t xml:space="preserve"> </w:t>
      </w:r>
      <w:r w:rsidRPr="00DA78FE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022BF1" w:rsidRPr="00DA78FE">
        <w:rPr>
          <w:rFonts w:ascii="Times New Roman" w:hAnsi="Times New Roman" w:cs="Times New Roman"/>
          <w:sz w:val="28"/>
          <w:szCs w:val="28"/>
        </w:rPr>
        <w:t>рейтинга перспектив</w:t>
      </w:r>
      <w:r w:rsidR="00B14536" w:rsidRPr="00DA78FE">
        <w:rPr>
          <w:rFonts w:ascii="Times New Roman" w:hAnsi="Times New Roman" w:cs="Times New Roman"/>
          <w:sz w:val="28"/>
          <w:szCs w:val="28"/>
        </w:rPr>
        <w:t>ных объектов инвестиций</w:t>
      </w:r>
      <w:r w:rsidR="00BD427F" w:rsidRPr="00BD427F">
        <w:t xml:space="preserve"> </w:t>
      </w:r>
      <w:r w:rsidR="00BD427F" w:rsidRPr="00BD427F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proofErr w:type="gramEnd"/>
      <w:r w:rsidR="00BD427F" w:rsidRPr="00BD427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14536" w:rsidRPr="00DA78F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F7550">
        <w:rPr>
          <w:rFonts w:ascii="Times New Roman" w:hAnsi="Times New Roman" w:cs="Times New Roman"/>
          <w:sz w:val="28"/>
          <w:szCs w:val="28"/>
        </w:rPr>
        <w:t>о</w:t>
      </w:r>
      <w:r w:rsidR="00022BF1" w:rsidRPr="00DA78FE">
        <w:rPr>
          <w:rFonts w:ascii="Times New Roman" w:hAnsi="Times New Roman" w:cs="Times New Roman"/>
          <w:sz w:val="28"/>
          <w:szCs w:val="28"/>
        </w:rPr>
        <w:t xml:space="preserve">бъект), </w:t>
      </w:r>
      <w:r w:rsidRPr="00DA78FE">
        <w:rPr>
          <w:rFonts w:ascii="Times New Roman" w:hAnsi="Times New Roman" w:cs="Times New Roman"/>
          <w:sz w:val="28"/>
          <w:szCs w:val="28"/>
        </w:rPr>
        <w:t>предлагаемых</w:t>
      </w:r>
      <w:r w:rsidR="00BD427F">
        <w:rPr>
          <w:rFonts w:ascii="Times New Roman" w:hAnsi="Times New Roman" w:cs="Times New Roman"/>
          <w:sz w:val="28"/>
          <w:szCs w:val="28"/>
        </w:rPr>
        <w:t xml:space="preserve"> </w:t>
      </w:r>
      <w:r w:rsidRPr="00DA78FE">
        <w:rPr>
          <w:rFonts w:ascii="Times New Roman" w:hAnsi="Times New Roman" w:cs="Times New Roman"/>
          <w:sz w:val="28"/>
          <w:szCs w:val="28"/>
        </w:rPr>
        <w:t xml:space="preserve">к включению в </w:t>
      </w:r>
      <w:r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r w:rsidRPr="00DA78FE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78FE">
        <w:rPr>
          <w:rFonts w:ascii="Times New Roman" w:hAnsi="Times New Roman" w:cs="Times New Roman"/>
          <w:sz w:val="28"/>
          <w:szCs w:val="28"/>
        </w:rPr>
        <w:t xml:space="preserve"> «Развитие сети автомобильных дорог общего пользования» государственной программы Ленинградской области «Развитие транспортной системы Ленинградской области» (далее –</w:t>
      </w:r>
      <w:r>
        <w:rPr>
          <w:rFonts w:ascii="Times New Roman" w:hAnsi="Times New Roman" w:cs="Times New Roman"/>
          <w:sz w:val="28"/>
          <w:szCs w:val="28"/>
        </w:rPr>
        <w:t xml:space="preserve"> Методика, </w:t>
      </w:r>
      <w:r w:rsidRPr="00DA78FE">
        <w:rPr>
          <w:rFonts w:ascii="Times New Roman" w:hAnsi="Times New Roman" w:cs="Times New Roman"/>
          <w:sz w:val="28"/>
          <w:szCs w:val="28"/>
        </w:rPr>
        <w:t>перечень объектов).</w:t>
      </w:r>
    </w:p>
    <w:p w:rsidR="004F06A7" w:rsidRPr="00DA78FE" w:rsidRDefault="00022BF1" w:rsidP="004F06A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8FE">
        <w:rPr>
          <w:rFonts w:ascii="Times New Roman" w:hAnsi="Times New Roman" w:cs="Times New Roman"/>
          <w:sz w:val="28"/>
          <w:szCs w:val="28"/>
        </w:rPr>
        <w:t xml:space="preserve">Термины и определения, используемые в Методике, применяются </w:t>
      </w:r>
      <w:r w:rsidR="002710F8">
        <w:rPr>
          <w:rFonts w:ascii="Times New Roman" w:hAnsi="Times New Roman" w:cs="Times New Roman"/>
          <w:sz w:val="28"/>
          <w:szCs w:val="28"/>
        </w:rPr>
        <w:br/>
      </w:r>
      <w:r w:rsidRPr="00DA78FE">
        <w:rPr>
          <w:rFonts w:ascii="Times New Roman" w:hAnsi="Times New Roman" w:cs="Times New Roman"/>
          <w:sz w:val="28"/>
          <w:szCs w:val="28"/>
        </w:rPr>
        <w:t>в соответствии с Положением.</w:t>
      </w:r>
    </w:p>
    <w:p w:rsidR="00D122FC" w:rsidRPr="008054C3" w:rsidRDefault="00022BF1" w:rsidP="00BA1ED8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C3">
        <w:rPr>
          <w:rFonts w:ascii="Times New Roman" w:hAnsi="Times New Roman" w:cs="Times New Roman"/>
          <w:sz w:val="28"/>
          <w:szCs w:val="28"/>
        </w:rPr>
        <w:t xml:space="preserve">Настоящей Методикой </w:t>
      </w:r>
      <w:r w:rsidR="00B14536" w:rsidRPr="008054C3">
        <w:rPr>
          <w:rFonts w:ascii="Times New Roman" w:hAnsi="Times New Roman" w:cs="Times New Roman"/>
          <w:sz w:val="28"/>
          <w:szCs w:val="28"/>
        </w:rPr>
        <w:t>определяется порядок формирования</w:t>
      </w:r>
      <w:r w:rsidRPr="008054C3">
        <w:rPr>
          <w:rFonts w:ascii="Times New Roman" w:hAnsi="Times New Roman" w:cs="Times New Roman"/>
          <w:sz w:val="28"/>
          <w:szCs w:val="28"/>
        </w:rPr>
        <w:t xml:space="preserve"> рейтинга объект</w:t>
      </w:r>
      <w:r w:rsidR="00DC271F" w:rsidRPr="008054C3">
        <w:rPr>
          <w:rFonts w:ascii="Times New Roman" w:hAnsi="Times New Roman" w:cs="Times New Roman"/>
          <w:sz w:val="28"/>
          <w:szCs w:val="28"/>
        </w:rPr>
        <w:t xml:space="preserve">а </w:t>
      </w:r>
      <w:r w:rsidRPr="008054C3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22033466"/>
      <w:r w:rsidR="00DC271F" w:rsidRPr="008054C3">
        <w:rPr>
          <w:rFonts w:ascii="Times New Roman" w:hAnsi="Times New Roman" w:cs="Times New Roman"/>
          <w:sz w:val="28"/>
          <w:szCs w:val="28"/>
        </w:rPr>
        <w:t>общем</w:t>
      </w:r>
      <w:r w:rsidR="00B14536" w:rsidRPr="008054C3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DC271F" w:rsidRPr="008054C3">
        <w:rPr>
          <w:rFonts w:ascii="Times New Roman" w:hAnsi="Times New Roman" w:cs="Times New Roman"/>
          <w:sz w:val="28"/>
          <w:szCs w:val="28"/>
        </w:rPr>
        <w:t>не</w:t>
      </w:r>
      <w:r w:rsidR="00B14536" w:rsidRPr="008054C3">
        <w:rPr>
          <w:rFonts w:ascii="Times New Roman" w:hAnsi="Times New Roman" w:cs="Times New Roman"/>
          <w:sz w:val="28"/>
          <w:szCs w:val="28"/>
        </w:rPr>
        <w:t xml:space="preserve"> </w:t>
      </w:r>
      <w:r w:rsidRPr="008054C3">
        <w:rPr>
          <w:rFonts w:ascii="Times New Roman" w:hAnsi="Times New Roman" w:cs="Times New Roman"/>
          <w:sz w:val="28"/>
          <w:szCs w:val="28"/>
        </w:rPr>
        <w:t>объект</w:t>
      </w:r>
      <w:r w:rsidR="00B14536" w:rsidRPr="008054C3">
        <w:rPr>
          <w:rFonts w:ascii="Times New Roman" w:hAnsi="Times New Roman" w:cs="Times New Roman"/>
          <w:sz w:val="28"/>
          <w:szCs w:val="28"/>
        </w:rPr>
        <w:t>ов, заявленных муниципальными образованиями</w:t>
      </w:r>
      <w:r w:rsidR="008330DA" w:rsidRPr="008054C3">
        <w:rPr>
          <w:rFonts w:ascii="Times New Roman" w:hAnsi="Times New Roman" w:cs="Times New Roman"/>
          <w:sz w:val="28"/>
          <w:szCs w:val="28"/>
        </w:rPr>
        <w:t>,</w:t>
      </w:r>
      <w:r w:rsidR="00B14536" w:rsidRPr="008054C3">
        <w:rPr>
          <w:rFonts w:ascii="Times New Roman" w:hAnsi="Times New Roman" w:cs="Times New Roman"/>
          <w:sz w:val="28"/>
          <w:szCs w:val="28"/>
        </w:rPr>
        <w:t xml:space="preserve"> для включения в</w:t>
      </w:r>
      <w:r w:rsidR="00EB0F77" w:rsidRPr="008054C3">
        <w:rPr>
          <w:rFonts w:ascii="Times New Roman" w:hAnsi="Times New Roman" w:cs="Times New Roman"/>
          <w:sz w:val="28"/>
          <w:szCs w:val="28"/>
        </w:rPr>
        <w:t xml:space="preserve"> перечень объектов</w:t>
      </w:r>
      <w:r w:rsidR="00B14536" w:rsidRPr="008054C3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</w:p>
    <w:p w:rsidR="001F3804" w:rsidRPr="008054C3" w:rsidRDefault="00B14536" w:rsidP="00BA1ED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C3">
        <w:rPr>
          <w:rFonts w:ascii="Times New Roman" w:hAnsi="Times New Roman" w:cs="Times New Roman"/>
          <w:sz w:val="28"/>
          <w:szCs w:val="28"/>
        </w:rPr>
        <w:t>Р</w:t>
      </w:r>
      <w:r w:rsidR="00022BF1" w:rsidRPr="008054C3">
        <w:rPr>
          <w:rFonts w:ascii="Times New Roman" w:hAnsi="Times New Roman" w:cs="Times New Roman"/>
          <w:sz w:val="28"/>
          <w:szCs w:val="28"/>
        </w:rPr>
        <w:t>ейтинг объекта</w:t>
      </w:r>
      <w:r w:rsidR="004F06A7" w:rsidRPr="008054C3">
        <w:rPr>
          <w:rFonts w:ascii="Times New Roman" w:hAnsi="Times New Roman" w:cs="Times New Roman"/>
          <w:sz w:val="28"/>
          <w:szCs w:val="28"/>
        </w:rPr>
        <w:t xml:space="preserve"> (расчетный балл)</w:t>
      </w:r>
      <w:r w:rsidR="00022BF1" w:rsidRPr="008054C3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9A1044" w:rsidRPr="008054C3" w:rsidRDefault="009A1044" w:rsidP="00BA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BF1" w:rsidRPr="00BA1ED8" w:rsidRDefault="00022BF1" w:rsidP="00BA1ED8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vertAlign w:val="subscript"/>
              <w:lang w:val="en-US"/>
            </w:rPr>
            <m:t>i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(W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х СД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i)</m:t>
          </m:r>
          <m:r>
            <w:rPr>
              <w:rFonts w:ascii="Cambria Math" w:eastAsiaTheme="minorEastAsia" w:hAnsi="Cambria Math" w:cs="Times New Roman"/>
              <w:sz w:val="28"/>
              <w:szCs w:val="28"/>
              <w:vertAlign w:val="subscript"/>
            </w:rPr>
            <m:t xml:space="preserve">, </m:t>
          </m:r>
        </m:oMath>
      </m:oMathPara>
    </w:p>
    <w:p w:rsidR="00BA1ED8" w:rsidRPr="00BA1ED8" w:rsidRDefault="00BA1ED8" w:rsidP="00BA1E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1ED8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1F3804" w:rsidRPr="00BA1ED8" w:rsidRDefault="001F3804" w:rsidP="00BA1E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i</m:t>
        </m:r>
      </m:oMath>
      <w:r w:rsidRPr="00BA1ED8">
        <w:rPr>
          <w:rFonts w:ascii="Times New Roman" w:eastAsiaTheme="minorEastAsia" w:hAnsi="Times New Roman" w:cs="Times New Roman"/>
          <w:sz w:val="28"/>
          <w:szCs w:val="28"/>
        </w:rPr>
        <w:t xml:space="preserve"> – удельный вес (значимость) </w:t>
      </w:r>
      <w:proofErr w:type="spellStart"/>
      <w:r w:rsidRPr="00BA1ED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BA1ED8">
        <w:rPr>
          <w:rFonts w:ascii="Times New Roman" w:eastAsiaTheme="minorEastAsia" w:hAnsi="Times New Roman" w:cs="Times New Roman"/>
          <w:sz w:val="28"/>
          <w:szCs w:val="28"/>
        </w:rPr>
        <w:t>-го показателя объекта инвестиций;</w:t>
      </w:r>
    </w:p>
    <w:p w:rsidR="001F3804" w:rsidRPr="00BA1ED8" w:rsidRDefault="001F3804" w:rsidP="00BA1E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СД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i</m:t>
        </m:r>
      </m:oMath>
      <w:r w:rsidRPr="00BA1ED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BA1ED8">
        <w:rPr>
          <w:rFonts w:ascii="Times New Roman" w:eastAsiaTheme="minorEastAsia" w:hAnsi="Times New Roman" w:cs="Times New Roman"/>
          <w:sz w:val="28"/>
          <w:szCs w:val="28"/>
        </w:rPr>
        <w:t xml:space="preserve">– значение оценочного критерия </w:t>
      </w:r>
      <w:proofErr w:type="spellStart"/>
      <w:r w:rsidRPr="00BA1ED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BA1ED8">
        <w:rPr>
          <w:rFonts w:ascii="Times New Roman" w:eastAsiaTheme="minorEastAsia" w:hAnsi="Times New Roman" w:cs="Times New Roman"/>
          <w:sz w:val="28"/>
          <w:szCs w:val="28"/>
        </w:rPr>
        <w:t>-го показателя объекта инвестиций</w:t>
      </w:r>
    </w:p>
    <w:p w:rsidR="009A1044" w:rsidRPr="00BA1ED8" w:rsidRDefault="009A1044" w:rsidP="00BA1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804" w:rsidRPr="00BB3DC5" w:rsidRDefault="001F3804" w:rsidP="00BB3DC5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C5">
        <w:rPr>
          <w:rFonts w:ascii="Times New Roman" w:hAnsi="Times New Roman" w:cs="Times New Roman"/>
          <w:sz w:val="28"/>
          <w:szCs w:val="28"/>
        </w:rPr>
        <w:t xml:space="preserve">С учетом прочих факторов (в случае равенства </w:t>
      </w:r>
      <w:r w:rsidR="00BA1ED8" w:rsidRPr="00BB3DC5">
        <w:rPr>
          <w:rFonts w:ascii="Times New Roman" w:hAnsi="Times New Roman" w:cs="Times New Roman"/>
          <w:sz w:val="28"/>
          <w:szCs w:val="28"/>
        </w:rPr>
        <w:t>расчетных баллов по двум или более объектам</w:t>
      </w:r>
      <w:r w:rsidRPr="00BB3DC5">
        <w:rPr>
          <w:rFonts w:ascii="Times New Roman" w:hAnsi="Times New Roman" w:cs="Times New Roman"/>
          <w:sz w:val="28"/>
          <w:szCs w:val="28"/>
        </w:rPr>
        <w:t>):</w:t>
      </w:r>
    </w:p>
    <w:p w:rsidR="001F3804" w:rsidRPr="00BA1ED8" w:rsidRDefault="001F3804" w:rsidP="00BA1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804" w:rsidRPr="00BA1ED8" w:rsidRDefault="001F3804" w:rsidP="00BA1E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vertAlign w:val="subscript"/>
              <w:lang w:val="en-US"/>
            </w:rPr>
            <m:t>i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(W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х СД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i)+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  <w:lang w:val="en-US"/>
            </w:rPr>
            <m:t>V1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vertAlign w:val="subscript"/>
              <w:lang w:val="en-US"/>
            </w:rPr>
            <m:t>i+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  <w:lang w:val="en-US"/>
            </w:rPr>
            <m:t>V2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vertAlign w:val="subscript"/>
              <w:lang w:val="en-US"/>
            </w:rPr>
            <m:t>i,</m:t>
          </m:r>
        </m:oMath>
      </m:oMathPara>
    </w:p>
    <w:p w:rsidR="00BA1ED8" w:rsidRPr="00BA1ED8" w:rsidRDefault="00BA1ED8" w:rsidP="00BA1E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1ED8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022BF1" w:rsidRPr="00BA1ED8" w:rsidRDefault="00022BF1" w:rsidP="00BA1E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i</m:t>
        </m:r>
      </m:oMath>
      <w:r w:rsidRPr="00BA1ED8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EB0F77" w:rsidRPr="00BA1ED8">
        <w:rPr>
          <w:rFonts w:ascii="Times New Roman" w:eastAsiaTheme="minorEastAsia" w:hAnsi="Times New Roman" w:cs="Times New Roman"/>
          <w:sz w:val="28"/>
          <w:szCs w:val="28"/>
        </w:rPr>
        <w:t xml:space="preserve"> у</w:t>
      </w:r>
      <w:r w:rsidR="007124A7" w:rsidRPr="00BA1ED8">
        <w:rPr>
          <w:rFonts w:ascii="Times New Roman" w:eastAsiaTheme="minorEastAsia" w:hAnsi="Times New Roman" w:cs="Times New Roman"/>
          <w:sz w:val="28"/>
          <w:szCs w:val="28"/>
        </w:rPr>
        <w:t>дельный</w:t>
      </w:r>
      <w:r w:rsidRPr="00BA1E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0918" w:rsidRPr="00BA1ED8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BA1ED8">
        <w:rPr>
          <w:rFonts w:ascii="Times New Roman" w:eastAsiaTheme="minorEastAsia" w:hAnsi="Times New Roman" w:cs="Times New Roman"/>
          <w:sz w:val="28"/>
          <w:szCs w:val="28"/>
        </w:rPr>
        <w:t xml:space="preserve">ес (значимость) </w:t>
      </w:r>
      <w:proofErr w:type="spellStart"/>
      <w:r w:rsidRPr="00BA1ED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BA1ED8">
        <w:rPr>
          <w:rFonts w:ascii="Times New Roman" w:eastAsiaTheme="minorEastAsia" w:hAnsi="Times New Roman" w:cs="Times New Roman"/>
          <w:sz w:val="28"/>
          <w:szCs w:val="28"/>
        </w:rPr>
        <w:t xml:space="preserve">-го </w:t>
      </w:r>
      <w:r w:rsidR="007124A7" w:rsidRPr="00BA1ED8">
        <w:rPr>
          <w:rFonts w:ascii="Times New Roman" w:eastAsiaTheme="minorEastAsia" w:hAnsi="Times New Roman" w:cs="Times New Roman"/>
          <w:sz w:val="28"/>
          <w:szCs w:val="28"/>
        </w:rPr>
        <w:t>показателя</w:t>
      </w:r>
      <w:r w:rsidRPr="00BA1ED8">
        <w:rPr>
          <w:rFonts w:ascii="Times New Roman" w:eastAsiaTheme="minorEastAsia" w:hAnsi="Times New Roman" w:cs="Times New Roman"/>
          <w:sz w:val="28"/>
          <w:szCs w:val="28"/>
        </w:rPr>
        <w:t xml:space="preserve"> объекта инвестиций;</w:t>
      </w:r>
    </w:p>
    <w:p w:rsidR="00B50217" w:rsidRPr="00BA1ED8" w:rsidRDefault="00022BF1" w:rsidP="00BA1E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СД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i</m:t>
        </m:r>
      </m:oMath>
      <w:r w:rsidRPr="00BA1ED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BA1ED8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7124A7" w:rsidRPr="00BA1ED8">
        <w:rPr>
          <w:rFonts w:ascii="Times New Roman" w:eastAsiaTheme="minorEastAsia" w:hAnsi="Times New Roman" w:cs="Times New Roman"/>
          <w:sz w:val="28"/>
          <w:szCs w:val="28"/>
        </w:rPr>
        <w:t>значение оценочного критерия</w:t>
      </w:r>
      <w:r w:rsidRPr="00BA1E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A1ED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BA1ED8">
        <w:rPr>
          <w:rFonts w:ascii="Times New Roman" w:eastAsiaTheme="minorEastAsia" w:hAnsi="Times New Roman" w:cs="Times New Roman"/>
          <w:sz w:val="28"/>
          <w:szCs w:val="28"/>
        </w:rPr>
        <w:t xml:space="preserve">-го </w:t>
      </w:r>
      <w:r w:rsidR="007124A7" w:rsidRPr="00BA1ED8">
        <w:rPr>
          <w:rFonts w:ascii="Times New Roman" w:eastAsiaTheme="minorEastAsia" w:hAnsi="Times New Roman" w:cs="Times New Roman"/>
          <w:sz w:val="28"/>
          <w:szCs w:val="28"/>
        </w:rPr>
        <w:t>показателя</w:t>
      </w:r>
      <w:r w:rsidRPr="00BA1ED8">
        <w:rPr>
          <w:rFonts w:ascii="Times New Roman" w:eastAsiaTheme="minorEastAsia" w:hAnsi="Times New Roman" w:cs="Times New Roman"/>
          <w:sz w:val="28"/>
          <w:szCs w:val="28"/>
        </w:rPr>
        <w:t xml:space="preserve"> объекта инвестиций</w:t>
      </w:r>
      <w:r w:rsidR="00EB0F77" w:rsidRPr="00BA1ED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F3804" w:rsidRPr="00626C24" w:rsidRDefault="001F3804" w:rsidP="00BA1E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i</m:t>
        </m:r>
      </m:oMath>
      <w:r w:rsidRPr="00626C2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BF4287" w:rsidRPr="0062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объекта по прочему фактору 1</w:t>
      </w:r>
      <w:r w:rsidRPr="00626C2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55025" w:rsidRPr="001F3804" w:rsidRDefault="00655025" w:rsidP="00655025">
      <w:pPr>
        <w:spacing w:after="0" w:line="240" w:lineRule="auto"/>
        <w:ind w:firstLine="709"/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i</m:t>
        </m:r>
      </m:oMath>
      <w:r w:rsidRPr="00626C2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BF4287" w:rsidRPr="0062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объекта</w:t>
      </w:r>
      <w:r w:rsidR="00BF4287" w:rsidRPr="00626C24">
        <w:t xml:space="preserve"> </w:t>
      </w:r>
      <w:r w:rsidR="00BF4287" w:rsidRPr="0062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прочему фактору 2</w:t>
      </w:r>
      <w:r w:rsidRPr="00626C2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50217" w:rsidRPr="00B50217" w:rsidRDefault="00B50217" w:rsidP="001F3804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217">
        <w:rPr>
          <w:rFonts w:ascii="Times New Roman" w:hAnsi="Times New Roman" w:cs="Times New Roman"/>
          <w:sz w:val="28"/>
          <w:szCs w:val="28"/>
        </w:rPr>
        <w:t>Удельный вес показателя и значение оценочного критерия показателей, устанавливаются в соответствии с таблицей №1</w:t>
      </w:r>
      <w:r w:rsidR="00B14536" w:rsidRPr="00B50217">
        <w:rPr>
          <w:rFonts w:ascii="Times New Roman" w:hAnsi="Times New Roman" w:cs="Times New Roman"/>
          <w:sz w:val="28"/>
          <w:szCs w:val="28"/>
        </w:rPr>
        <w:t>.</w:t>
      </w:r>
    </w:p>
    <w:p w:rsidR="00B50217" w:rsidRPr="00B50217" w:rsidRDefault="00B50217" w:rsidP="001F380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Прочие факторы, </w:t>
      </w:r>
      <w:r w:rsidRPr="00B50217">
        <w:rPr>
          <w:rFonts w:ascii="Times New Roman" w:hAnsi="Times New Roman" w:cs="Times New Roman"/>
          <w:sz w:val="28"/>
          <w:szCs w:val="28"/>
        </w:rPr>
        <w:t>влияющих на оценку приоритетности объекта инвестиций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устанавливаются в таблице </w:t>
      </w:r>
      <w:r w:rsidRPr="00B50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(применяются в случае равенства двух </w:t>
      </w:r>
      <w:r w:rsidR="002710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более объектов).</w:t>
      </w:r>
    </w:p>
    <w:p w:rsidR="00022BF1" w:rsidRPr="00DF4313" w:rsidRDefault="00022BF1" w:rsidP="001F3804">
      <w:pPr>
        <w:pStyle w:val="a5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536">
        <w:rPr>
          <w:rFonts w:ascii="Times New Roman" w:hAnsi="Times New Roman" w:cs="Times New Roman"/>
          <w:sz w:val="28"/>
          <w:szCs w:val="28"/>
        </w:rPr>
        <w:t>По итогам расчета рейтинга по каждому объекту</w:t>
      </w:r>
      <w:r w:rsidR="00B14536" w:rsidRPr="00B14536">
        <w:rPr>
          <w:rFonts w:ascii="Times New Roman" w:hAnsi="Times New Roman" w:cs="Times New Roman"/>
          <w:sz w:val="28"/>
          <w:szCs w:val="28"/>
        </w:rPr>
        <w:t>,</w:t>
      </w:r>
      <w:r w:rsidRPr="00B14536">
        <w:rPr>
          <w:rFonts w:ascii="Times New Roman" w:hAnsi="Times New Roman" w:cs="Times New Roman"/>
          <w:sz w:val="28"/>
          <w:szCs w:val="28"/>
        </w:rPr>
        <w:t xml:space="preserve"> </w:t>
      </w:r>
      <w:r w:rsidR="00B14536" w:rsidRPr="00B14536">
        <w:rPr>
          <w:rFonts w:ascii="Times New Roman" w:hAnsi="Times New Roman" w:cs="Times New Roman"/>
          <w:sz w:val="28"/>
          <w:szCs w:val="28"/>
        </w:rPr>
        <w:t xml:space="preserve">в порядке убывания расчетного балла </w:t>
      </w:r>
      <w:r w:rsidR="00CC0918">
        <w:rPr>
          <w:rFonts w:ascii="Times New Roman" w:hAnsi="Times New Roman" w:cs="Times New Roman"/>
          <w:sz w:val="28"/>
          <w:szCs w:val="28"/>
        </w:rPr>
        <w:t>по отдельно взятому объекту</w:t>
      </w:r>
      <w:r w:rsidR="00B14536" w:rsidRPr="00B14536">
        <w:rPr>
          <w:rFonts w:ascii="Times New Roman" w:hAnsi="Times New Roman" w:cs="Times New Roman"/>
          <w:sz w:val="28"/>
          <w:szCs w:val="28"/>
        </w:rPr>
        <w:t>, составляе</w:t>
      </w:r>
      <w:r w:rsidRPr="00B14536">
        <w:rPr>
          <w:rFonts w:ascii="Times New Roman" w:hAnsi="Times New Roman" w:cs="Times New Roman"/>
          <w:sz w:val="28"/>
          <w:szCs w:val="28"/>
        </w:rPr>
        <w:t xml:space="preserve">тся </w:t>
      </w:r>
      <w:r w:rsidR="00CC0918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B14536">
        <w:rPr>
          <w:rFonts w:ascii="Times New Roman" w:hAnsi="Times New Roman" w:cs="Times New Roman"/>
          <w:sz w:val="28"/>
          <w:szCs w:val="28"/>
        </w:rPr>
        <w:t>рейтинг</w:t>
      </w:r>
      <w:r w:rsidR="00B14536" w:rsidRPr="00B14536">
        <w:rPr>
          <w:rFonts w:ascii="Times New Roman" w:hAnsi="Times New Roman" w:cs="Times New Roman"/>
          <w:sz w:val="28"/>
          <w:szCs w:val="28"/>
        </w:rPr>
        <w:t xml:space="preserve"> </w:t>
      </w:r>
      <w:r w:rsidRPr="00B14536">
        <w:rPr>
          <w:rFonts w:ascii="Times New Roman" w:hAnsi="Times New Roman" w:cs="Times New Roman"/>
          <w:sz w:val="28"/>
          <w:szCs w:val="28"/>
        </w:rPr>
        <w:t>объектов, предлагаемых для включения</w:t>
      </w:r>
      <w:r w:rsidR="00B14536" w:rsidRPr="00B14536">
        <w:rPr>
          <w:rFonts w:ascii="Times New Roman" w:hAnsi="Times New Roman" w:cs="Times New Roman"/>
          <w:sz w:val="28"/>
          <w:szCs w:val="28"/>
        </w:rPr>
        <w:t xml:space="preserve"> в </w:t>
      </w:r>
      <w:r w:rsidR="00FD1810">
        <w:rPr>
          <w:rFonts w:ascii="Times New Roman" w:hAnsi="Times New Roman" w:cs="Times New Roman"/>
          <w:sz w:val="28"/>
          <w:szCs w:val="28"/>
        </w:rPr>
        <w:t>перечень объектов</w:t>
      </w:r>
      <w:r w:rsidR="00B14536">
        <w:rPr>
          <w:rFonts w:ascii="Times New Roman" w:hAnsi="Times New Roman" w:cs="Times New Roman"/>
          <w:sz w:val="28"/>
          <w:szCs w:val="28"/>
        </w:rPr>
        <w:t>.</w:t>
      </w:r>
    </w:p>
    <w:p w:rsidR="00DF4313" w:rsidRDefault="00DF4313" w:rsidP="00022B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041E" w:rsidRDefault="001C041E" w:rsidP="00022B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BF1" w:rsidRDefault="00022BF1" w:rsidP="00022B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1. </w:t>
      </w:r>
      <w:r w:rsidR="00EB0F77">
        <w:rPr>
          <w:rFonts w:ascii="Times New Roman" w:hAnsi="Times New Roman" w:cs="Times New Roman"/>
          <w:bCs/>
          <w:sz w:val="28"/>
          <w:szCs w:val="28"/>
        </w:rPr>
        <w:t>Удельный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ес </w:t>
      </w:r>
      <w:r w:rsidR="00983DFC">
        <w:rPr>
          <w:rFonts w:ascii="Times New Roman" w:hAnsi="Times New Roman" w:cs="Times New Roman"/>
          <w:bCs/>
          <w:sz w:val="28"/>
          <w:szCs w:val="28"/>
        </w:rPr>
        <w:t>и значение оценочного критерия показателей.</w:t>
      </w:r>
    </w:p>
    <w:p w:rsidR="00FB1223" w:rsidRDefault="00FB1223" w:rsidP="00022B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7"/>
        <w:gridCol w:w="3027"/>
        <w:gridCol w:w="1418"/>
        <w:gridCol w:w="3544"/>
        <w:gridCol w:w="1417"/>
      </w:tblGrid>
      <w:tr w:rsidR="00B14536" w:rsidRPr="00FB1223" w:rsidTr="009A1044">
        <w:trPr>
          <w:trHeight w:val="870"/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36" w:rsidRPr="00FB1223" w:rsidRDefault="00B14536" w:rsidP="00CD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36" w:rsidRPr="00FB1223" w:rsidRDefault="00B14536" w:rsidP="00F8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Наименования </w:t>
            </w:r>
            <w:r w:rsidR="00F8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36" w:rsidRPr="00FB1223" w:rsidRDefault="00F8071F" w:rsidP="00F8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</w:t>
            </w:r>
            <w:r w:rsidR="00DC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B14536"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13" w:rsidRDefault="00F8071F" w:rsidP="00FD1810">
            <w:pPr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Оценочный</w:t>
            </w:r>
            <w:r w:rsidR="00B14536"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критерий </w:t>
            </w:r>
          </w:p>
          <w:p w:rsidR="00B14536" w:rsidRPr="00FB1223" w:rsidRDefault="00F8071F" w:rsidP="00FD1810">
            <w:pPr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36" w:rsidRPr="00FB1223" w:rsidRDefault="00F8071F" w:rsidP="00F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оценочного</w:t>
            </w:r>
            <w:r w:rsidR="00B14536"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</w:tr>
      <w:tr w:rsidR="00B14536" w:rsidRPr="00FB1223" w:rsidTr="00B46867">
        <w:trPr>
          <w:trHeight w:val="921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36" w:rsidRPr="00FB1223" w:rsidRDefault="00B14536" w:rsidP="00B1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14" w:rsidRDefault="004D3F14" w:rsidP="004D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положительного заключения </w:t>
            </w:r>
            <w:r w:rsidRPr="004D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экспертизы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проектно-сметную документацию (ПСД), разработанную 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средств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областного бюджета</w:t>
            </w:r>
          </w:p>
          <w:p w:rsidR="00B14536" w:rsidRPr="00FB1223" w:rsidRDefault="00B14536" w:rsidP="004D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36" w:rsidRPr="00FB1223" w:rsidRDefault="00DF4313" w:rsidP="00B1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5" w:rsidRPr="00FB1223" w:rsidRDefault="00D036E8" w:rsidP="004D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</w:t>
            </w:r>
            <w:r w:rsidR="00B14536"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</w:t>
            </w:r>
            <w:r w:rsid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="00B14536"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</w:t>
            </w:r>
            <w:r w:rsid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B14536"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экспертизы</w:t>
            </w:r>
            <w:r w:rsidR="004D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ПСД, </w:t>
            </w:r>
            <w:proofErr w:type="gramStart"/>
            <w:r w:rsidR="004D3F14" w:rsidRPr="004D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разработанную</w:t>
            </w:r>
            <w:proofErr w:type="gramEnd"/>
            <w:r w:rsidR="004D3F14" w:rsidRPr="004D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привлечением средств из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36" w:rsidRPr="00FB1223" w:rsidRDefault="007124A7" w:rsidP="00CD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4536" w:rsidRPr="00FB1223" w:rsidTr="00743EC9">
        <w:trPr>
          <w:trHeight w:val="443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36" w:rsidRPr="00FB1223" w:rsidRDefault="00B14536" w:rsidP="00CD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36" w:rsidRPr="00FB1223" w:rsidRDefault="00B14536" w:rsidP="00CD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36" w:rsidRPr="00FB1223" w:rsidRDefault="00B14536" w:rsidP="00CD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36" w:rsidRPr="00FB1223" w:rsidRDefault="004D3F14" w:rsidP="00D0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положительного заключения государственной экспертизы на ПСД, </w:t>
            </w:r>
            <w:proofErr w:type="gramStart"/>
            <w:r w:rsidRPr="004D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разработанную</w:t>
            </w:r>
            <w:proofErr w:type="gramEnd"/>
            <w:r w:rsidRPr="004D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привлечения средств из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36" w:rsidRPr="00FB1223" w:rsidRDefault="007124A7" w:rsidP="00CD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54C3" w:rsidRPr="00FB1223" w:rsidTr="004D3413">
        <w:trPr>
          <w:trHeight w:val="921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C3" w:rsidRPr="00FB1223" w:rsidRDefault="004D3F14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C3" w:rsidRPr="00FB1223" w:rsidRDefault="004D3F14" w:rsidP="004D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Pr="004D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технико-экономическо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4D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D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 строительства (реконструкции) объекта инвестиций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(ТЭО)</w:t>
            </w:r>
            <w:r w:rsidRPr="004D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положительным заключением Комитета экономического развития и инвестиционной деятельности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(КЭР и ИД ЛО) </w:t>
            </w:r>
            <w:r w:rsidR="00A0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вновь начинаемых объектов)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C3" w:rsidRPr="00FB1223" w:rsidRDefault="00A011B7" w:rsidP="00D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C3" w:rsidRPr="00FB1223" w:rsidRDefault="008054C3" w:rsidP="00A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="004D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ТЭО 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положи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3F14" w:rsidRPr="004D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КЭР и ИД ЛО</w:t>
            </w:r>
            <w:r w:rsidR="004D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выданн</w:t>
            </w:r>
            <w:r w:rsidR="00A0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4D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D3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текущем финансовом году</w:t>
            </w:r>
            <w:r w:rsidR="00A0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объектов, ранее включенных в перечень объектов, </w:t>
            </w:r>
            <w:r w:rsidR="00A011B7" w:rsidRPr="00A0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оценочного критерия показателя = 1</w:t>
            </w:r>
            <w:r w:rsidR="00A0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C3" w:rsidRPr="00FB1223" w:rsidRDefault="008054C3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54C3" w:rsidRPr="00FB1223" w:rsidTr="004D3413">
        <w:trPr>
          <w:trHeight w:val="37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C3" w:rsidRPr="00FB1223" w:rsidRDefault="008054C3" w:rsidP="004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C3" w:rsidRPr="00FB1223" w:rsidRDefault="008054C3" w:rsidP="004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C3" w:rsidRPr="00FB1223" w:rsidRDefault="008054C3" w:rsidP="004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C3" w:rsidRPr="00FB1223" w:rsidRDefault="00A011B7" w:rsidP="00271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ТЭО 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положительного заключения КЭР и ИД ЛО, выданного 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годах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C3" w:rsidRPr="00FB1223" w:rsidRDefault="008054C3" w:rsidP="0027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054C3" w:rsidRPr="00FB1223" w:rsidTr="00790B13">
        <w:trPr>
          <w:trHeight w:val="443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C3" w:rsidRPr="00FB1223" w:rsidRDefault="008054C3" w:rsidP="004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C3" w:rsidRPr="00FB1223" w:rsidRDefault="008054C3" w:rsidP="004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C3" w:rsidRPr="00FB1223" w:rsidRDefault="008054C3" w:rsidP="004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C3" w:rsidRPr="00FB1223" w:rsidRDefault="00A011B7" w:rsidP="00271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ТЭО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которого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рассмотрение 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0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КЭР и ИД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4C3" w:rsidRPr="00FB1223" w:rsidRDefault="008054C3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B1223" w:rsidRPr="00FB1223" w:rsidTr="00790B13">
        <w:trPr>
          <w:trHeight w:val="29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23" w:rsidRPr="00FB1223" w:rsidRDefault="000243A8" w:rsidP="00F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23" w:rsidRPr="00FB1223" w:rsidRDefault="00FB1223" w:rsidP="00DF4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предписаний контрольно-надзорных органов</w:t>
            </w:r>
            <w:r w:rsidR="00D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</w:t>
            </w:r>
            <w:r w:rsidR="00B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судебных решений </w:t>
            </w:r>
            <w:r w:rsidR="0008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23" w:rsidRPr="00FB1223" w:rsidRDefault="00DF4313" w:rsidP="00F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23" w:rsidRPr="00FB1223" w:rsidRDefault="005435C2" w:rsidP="00CF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B1223"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редписани</w:t>
            </w:r>
            <w:r w:rsidR="00CF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B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судебные решения</w:t>
            </w:r>
            <w:r w:rsidR="00CF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имеются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23" w:rsidRPr="00FB1223" w:rsidRDefault="007124A7" w:rsidP="00CD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223" w:rsidRPr="00FB1223" w:rsidTr="00790B13">
        <w:trPr>
          <w:trHeight w:val="60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23" w:rsidRPr="00FB1223" w:rsidRDefault="00FB1223" w:rsidP="00CD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23" w:rsidRPr="00FB1223" w:rsidRDefault="00FB1223" w:rsidP="00CD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23" w:rsidRPr="00FB1223" w:rsidRDefault="00FB1223" w:rsidP="00FB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23" w:rsidRPr="00FB1223" w:rsidRDefault="00CF7550" w:rsidP="000A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Предписания </w:t>
            </w:r>
            <w:r w:rsidR="00B4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судебные решения </w:t>
            </w:r>
            <w:r w:rsidRPr="00CF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23" w:rsidRPr="00FB1223" w:rsidRDefault="00CF7550" w:rsidP="00F4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A1044" w:rsidRPr="00FB1223" w:rsidTr="00790B13">
        <w:trPr>
          <w:trHeight w:val="968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44" w:rsidRPr="00FB1223" w:rsidRDefault="000243A8" w:rsidP="00CD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44" w:rsidRPr="00FB1223" w:rsidRDefault="00B46867" w:rsidP="0074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составе объекта искусственных сооружений через водные преграды, </w:t>
            </w:r>
            <w:r w:rsidR="00242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которых планируется проведение работ 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42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строительству (реконструкции), включая проектирование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44" w:rsidRPr="00FB1223" w:rsidRDefault="00DF4313" w:rsidP="00D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44" w:rsidRPr="00FB1223" w:rsidRDefault="009A1044" w:rsidP="0024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="00242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искусственных сооружений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44" w:rsidRPr="00FB1223" w:rsidRDefault="009A1044" w:rsidP="00CD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1044" w:rsidRPr="00FB1223" w:rsidTr="00BA1ED8">
        <w:trPr>
          <w:trHeight w:val="967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44" w:rsidRPr="00FB1223" w:rsidRDefault="009A1044" w:rsidP="00CD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44" w:rsidRPr="00FB1223" w:rsidRDefault="009A1044" w:rsidP="00CD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44" w:rsidRPr="00FB1223" w:rsidRDefault="009A1044" w:rsidP="00CD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44" w:rsidRPr="00FB1223" w:rsidRDefault="009A1044" w:rsidP="0024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="00242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44" w:rsidRPr="00FB1223" w:rsidRDefault="009A1044" w:rsidP="00CD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3A8" w:rsidRPr="00FB1223" w:rsidTr="00B730A4">
        <w:trPr>
          <w:trHeight w:val="1422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A8" w:rsidRPr="00FB1223" w:rsidRDefault="000243A8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A8" w:rsidRPr="00FB1223" w:rsidRDefault="000243A8" w:rsidP="00B7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поручений (решений) Президента Российской Федерации 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730A4" w:rsidRP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(или) </w:t>
            </w:r>
            <w:r w:rsidRPr="0002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(или)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Губернатора Ленинградской области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Ленинградской области </w:t>
            </w:r>
            <w:r w:rsidRPr="0002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4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A8" w:rsidRPr="00FB1223" w:rsidRDefault="000243A8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A8" w:rsidRPr="00FB1223" w:rsidRDefault="000243A8" w:rsidP="004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="00B730A4" w:rsidRP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поручений (решений)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A8" w:rsidRPr="00FB1223" w:rsidRDefault="000243A8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43A8" w:rsidRPr="00FB1223" w:rsidTr="004D3413">
        <w:trPr>
          <w:trHeight w:val="967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A8" w:rsidRPr="00FB1223" w:rsidRDefault="000243A8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A8" w:rsidRPr="00FB1223" w:rsidRDefault="000243A8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A8" w:rsidRPr="00FB1223" w:rsidRDefault="000243A8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A8" w:rsidRPr="00FB1223" w:rsidRDefault="000243A8" w:rsidP="004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="00B730A4" w:rsidRP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поручений (решений)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A8" w:rsidRPr="00FB1223" w:rsidRDefault="000243A8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4313" w:rsidRPr="00FB1223" w:rsidTr="004D3413">
        <w:trPr>
          <w:trHeight w:val="629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13" w:rsidRPr="00FB1223" w:rsidRDefault="00DF4313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13" w:rsidRPr="00FB1223" w:rsidRDefault="00DF4313" w:rsidP="004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ввода объекта 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показатели иных государственных программ и их подпрограмм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13" w:rsidRPr="00FB1223" w:rsidRDefault="00DF4313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13" w:rsidRPr="00FB1223" w:rsidRDefault="00DF4313" w:rsidP="004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13" w:rsidRPr="00FB1223" w:rsidRDefault="007846B7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313" w:rsidRPr="00FB1223" w:rsidTr="004D3413">
        <w:trPr>
          <w:trHeight w:val="836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13" w:rsidRPr="00FB1223" w:rsidRDefault="00DF4313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13" w:rsidRPr="00FB1223" w:rsidRDefault="00DF4313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13" w:rsidRPr="00FB1223" w:rsidRDefault="00DF4313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13" w:rsidRDefault="00DF4313" w:rsidP="004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влияет</w:t>
            </w:r>
            <w:r w:rsidRP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13" w:rsidRDefault="00DF4313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4313" w:rsidRPr="00FB1223" w:rsidTr="004D3413">
        <w:trPr>
          <w:trHeight w:val="946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13" w:rsidRPr="00FB1223" w:rsidRDefault="00DF4313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13" w:rsidRPr="00FB1223" w:rsidRDefault="00DF4313" w:rsidP="004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ввода объекта 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дорог местного значения в городах административных центров муниципальных районов и городского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13" w:rsidRPr="00FB1223" w:rsidRDefault="00DF4313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13" w:rsidRPr="00FB1223" w:rsidRDefault="00DF4313" w:rsidP="004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13" w:rsidRPr="00FB1223" w:rsidRDefault="00DF4313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313" w:rsidRPr="00FB1223" w:rsidTr="004D3413">
        <w:trPr>
          <w:trHeight w:val="71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13" w:rsidRPr="00FB1223" w:rsidRDefault="00DF4313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13" w:rsidRPr="00FB1223" w:rsidRDefault="00DF4313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13" w:rsidRPr="00FB1223" w:rsidRDefault="00DF4313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13" w:rsidRDefault="00DF4313" w:rsidP="004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влияет</w:t>
            </w:r>
            <w:r w:rsidRP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13" w:rsidRDefault="00DF4313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0A4" w:rsidRPr="00FB1223" w:rsidTr="00DF4313">
        <w:trPr>
          <w:trHeight w:val="1178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A4" w:rsidRPr="00FB1223" w:rsidRDefault="00DF4313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13" w:rsidRDefault="00B730A4" w:rsidP="00DF4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ввода объекта 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D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сети дорог местного значения </w:t>
            </w:r>
          </w:p>
          <w:p w:rsidR="00B730A4" w:rsidRPr="00FB1223" w:rsidRDefault="00DF4313" w:rsidP="00DF4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твердым покрытием 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сельских населенных пунктов, не имеющих круглогодичной связи </w:t>
            </w:r>
            <w:r w:rsidR="0027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сетью автомобильных дорог общего пользования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A4" w:rsidRPr="00FB1223" w:rsidRDefault="00DF4313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0A4" w:rsidRPr="00FB1223" w:rsidRDefault="00B730A4" w:rsidP="004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Влияе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A4" w:rsidRPr="00FB1223" w:rsidRDefault="00B730A4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30A4" w:rsidRPr="00FB1223" w:rsidTr="004D3413">
        <w:trPr>
          <w:trHeight w:val="71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A4" w:rsidRPr="00FB1223" w:rsidRDefault="00B730A4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A4" w:rsidRPr="00FB1223" w:rsidRDefault="00B730A4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A4" w:rsidRPr="00FB1223" w:rsidRDefault="00B730A4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A4" w:rsidRDefault="00B730A4" w:rsidP="004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влияет</w:t>
            </w:r>
            <w:r w:rsidRP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A4" w:rsidRDefault="00B730A4" w:rsidP="004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A1ED8" w:rsidRDefault="00BA1ED8" w:rsidP="00B50217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0B13" w:rsidRDefault="00790B13" w:rsidP="00B50217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0217" w:rsidRPr="009A1044" w:rsidRDefault="00FC74D4" w:rsidP="00B50217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044">
        <w:rPr>
          <w:rFonts w:ascii="Times New Roman" w:hAnsi="Times New Roman" w:cs="Times New Roman"/>
          <w:sz w:val="28"/>
          <w:szCs w:val="28"/>
        </w:rPr>
        <w:t>Таблица 2</w:t>
      </w:r>
      <w:r w:rsidR="00B50217" w:rsidRPr="009A1044">
        <w:rPr>
          <w:rFonts w:ascii="Times New Roman" w:hAnsi="Times New Roman" w:cs="Times New Roman"/>
          <w:sz w:val="28"/>
          <w:szCs w:val="28"/>
        </w:rPr>
        <w:t>. Оценка прочих факторов, влияющих на оценку приоритетности объекта инвестиций</w:t>
      </w:r>
      <w:r w:rsidR="009A1044">
        <w:rPr>
          <w:rFonts w:ascii="Times New Roman" w:hAnsi="Times New Roman" w:cs="Times New Roman"/>
          <w:sz w:val="28"/>
          <w:szCs w:val="28"/>
        </w:rPr>
        <w:t>.</w:t>
      </w:r>
    </w:p>
    <w:p w:rsidR="00FC74D4" w:rsidRDefault="00FC74D4" w:rsidP="00B50217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4359"/>
      </w:tblGrid>
      <w:tr w:rsidR="00FC74D4" w:rsidTr="00FC74D4">
        <w:tc>
          <w:tcPr>
            <w:tcW w:w="1101" w:type="dxa"/>
          </w:tcPr>
          <w:p w:rsidR="00FC74D4" w:rsidRDefault="00FC74D4" w:rsidP="00B50217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4D4">
              <w:rPr>
                <w:rFonts w:ascii="Times New Roman" w:hAnsi="Times New Roman" w:cs="Times New Roman"/>
                <w:sz w:val="26"/>
                <w:szCs w:val="26"/>
              </w:rPr>
              <w:t>№ пп</w:t>
            </w:r>
          </w:p>
        </w:tc>
        <w:tc>
          <w:tcPr>
            <w:tcW w:w="4961" w:type="dxa"/>
          </w:tcPr>
          <w:p w:rsidR="00FC74D4" w:rsidRDefault="00FC74D4" w:rsidP="00B50217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Фактор</w:t>
            </w:r>
          </w:p>
        </w:tc>
        <w:tc>
          <w:tcPr>
            <w:tcW w:w="4359" w:type="dxa"/>
          </w:tcPr>
          <w:p w:rsidR="00FC74D4" w:rsidRDefault="00FC74D4" w:rsidP="00B50217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FC74D4" w:rsidTr="00FC74D4">
        <w:tc>
          <w:tcPr>
            <w:tcW w:w="1101" w:type="dxa"/>
            <w:vAlign w:val="center"/>
          </w:tcPr>
          <w:p w:rsidR="00FC74D4" w:rsidRPr="00FC74D4" w:rsidRDefault="00FC74D4" w:rsidP="00FC74D4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FC74D4" w:rsidRDefault="00743EC9" w:rsidP="00374162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поддержки реализации проекта строительства (реконструкции) </w:t>
            </w:r>
            <w:r w:rsidR="002710F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 сторо</w:t>
            </w:r>
            <w:r w:rsidR="00790B13">
              <w:rPr>
                <w:rFonts w:ascii="Times New Roman" w:hAnsi="Times New Roman" w:cs="Times New Roman"/>
                <w:sz w:val="26"/>
                <w:szCs w:val="26"/>
              </w:rPr>
              <w:t xml:space="preserve">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федеральных органов исполнительной власти</w:t>
            </w:r>
          </w:p>
        </w:tc>
        <w:tc>
          <w:tcPr>
            <w:tcW w:w="4359" w:type="dxa"/>
            <w:vAlign w:val="center"/>
          </w:tcPr>
          <w:p w:rsidR="00FC74D4" w:rsidRDefault="00FC74D4" w:rsidP="00374162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7416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баллов (максимальное количество баллов)</w:t>
            </w:r>
          </w:p>
        </w:tc>
      </w:tr>
      <w:tr w:rsidR="00374162" w:rsidTr="004D3413">
        <w:tc>
          <w:tcPr>
            <w:tcW w:w="1101" w:type="dxa"/>
            <w:vAlign w:val="center"/>
          </w:tcPr>
          <w:p w:rsidR="00374162" w:rsidRPr="00FC74D4" w:rsidRDefault="00374162" w:rsidP="004D3413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374162" w:rsidRDefault="00374162" w:rsidP="004D3413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162">
              <w:rPr>
                <w:rFonts w:ascii="Times New Roman" w:hAnsi="Times New Roman" w:cs="Times New Roman"/>
                <w:sz w:val="26"/>
                <w:szCs w:val="26"/>
              </w:rPr>
              <w:t>Численность постоянно проживающего населения в муниципальном</w:t>
            </w:r>
            <w:proofErr w:type="gramStart"/>
            <w:r w:rsidR="00790B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4162">
              <w:rPr>
                <w:rFonts w:ascii="Times New Roman" w:hAnsi="Times New Roman" w:cs="Times New Roman"/>
                <w:sz w:val="26"/>
                <w:szCs w:val="26"/>
              </w:rPr>
              <w:t>(-</w:t>
            </w:r>
            <w:proofErr w:type="gramEnd"/>
            <w:r w:rsidRPr="00374162">
              <w:rPr>
                <w:rFonts w:ascii="Times New Roman" w:hAnsi="Times New Roman" w:cs="Times New Roman"/>
                <w:sz w:val="26"/>
                <w:szCs w:val="26"/>
              </w:rPr>
              <w:t>ых) образовании  (-</w:t>
            </w:r>
            <w:proofErr w:type="spellStart"/>
            <w:r w:rsidRPr="00374162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proofErr w:type="spellEnd"/>
            <w:r w:rsidRPr="00374162">
              <w:rPr>
                <w:rFonts w:ascii="Times New Roman" w:hAnsi="Times New Roman" w:cs="Times New Roman"/>
                <w:sz w:val="26"/>
                <w:szCs w:val="26"/>
              </w:rPr>
              <w:t>), на территории которого (-ых) расположен объект *</w:t>
            </w:r>
          </w:p>
        </w:tc>
        <w:tc>
          <w:tcPr>
            <w:tcW w:w="4359" w:type="dxa"/>
            <w:vAlign w:val="center"/>
          </w:tcPr>
          <w:p w:rsidR="00374162" w:rsidRDefault="00374162" w:rsidP="004D3413">
            <w:pPr>
              <w:pStyle w:val="a5"/>
              <w:tabs>
                <w:tab w:val="left" w:pos="284"/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+10 баллов (максимальное количество баллов)</w:t>
            </w:r>
          </w:p>
        </w:tc>
      </w:tr>
    </w:tbl>
    <w:p w:rsidR="00972DEB" w:rsidRDefault="00972DEB" w:rsidP="00B50217">
      <w:pPr>
        <w:pStyle w:val="a5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72DEB" w:rsidRPr="00972DEB" w:rsidRDefault="00972DEB" w:rsidP="00972DEB">
      <w:pPr>
        <w:tabs>
          <w:tab w:val="left" w:pos="284"/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DEB">
        <w:rPr>
          <w:rFonts w:ascii="Times New Roman" w:hAnsi="Times New Roman" w:cs="Times New Roman"/>
          <w:sz w:val="24"/>
          <w:szCs w:val="24"/>
        </w:rPr>
        <w:t>* определяется по формуле:</w:t>
      </w:r>
    </w:p>
    <w:p w:rsidR="00972DEB" w:rsidRDefault="00972DEB" w:rsidP="00972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743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= (</w:t>
      </w:r>
      <w:proofErr w:type="spellStart"/>
      <w:r w:rsidR="0037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37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972DEB" w:rsidRDefault="00972DEB" w:rsidP="00972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972DEB" w:rsidRDefault="00972DEB" w:rsidP="00972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C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743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2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– </w:t>
      </w:r>
      <w:r w:rsidR="00BF4287" w:rsidRPr="0062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объекта по прочему фактору</w:t>
      </w:r>
      <w:r w:rsidR="00743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62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2DEB" w:rsidRDefault="00374162" w:rsidP="00972DEB">
      <w:pPr>
        <w:tabs>
          <w:tab w:val="left" w:pos="284"/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972DEB" w:rsidRPr="00FB1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="00972DEB" w:rsidRPr="00FB1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7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исленность постоянно проживающего населения в муниципальном</w:t>
      </w:r>
      <w:proofErr w:type="gramStart"/>
      <w:r w:rsidRPr="0037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gramEnd"/>
      <w:r w:rsidRPr="0037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ых) образовании  (-</w:t>
      </w:r>
      <w:proofErr w:type="spellStart"/>
      <w:r w:rsidRPr="0037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37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 территории которого (-ых) расположен объект</w:t>
      </w:r>
      <w:r w:rsidR="00972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</w:t>
      </w:r>
      <w:r w:rsidR="00972DEB" w:rsidRPr="00FB1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i-й </w:t>
      </w:r>
      <w:r w:rsidR="00972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72DEB" w:rsidRPr="00FB1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(согласно информации, содержащейся в статистической отчетности по состоянию на 1 января года представления заявки)</w:t>
      </w:r>
      <w:r w:rsidR="00972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2DEB" w:rsidRDefault="00374162" w:rsidP="00972DEB">
      <w:pPr>
        <w:tabs>
          <w:tab w:val="left" w:pos="284"/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 </w:t>
      </w:r>
      <w:proofErr w:type="gramStart"/>
      <w:r w:rsidR="00972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72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gramEnd"/>
      <w:r w:rsidR="00972DEB" w:rsidRPr="00FB1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постоянно проживающего населения в муниципальных образованиях, на территории которых расположен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7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7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2DEB" w:rsidRPr="00FB1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</w:t>
      </w:r>
      <w:r w:rsidR="00972DEB" w:rsidRPr="00FB1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</w:t>
      </w:r>
      <w:r w:rsidR="00972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заявках, допущенных к отбору.</w:t>
      </w:r>
    </w:p>
    <w:p w:rsidR="00963680" w:rsidRPr="00963680" w:rsidRDefault="00963680" w:rsidP="00963680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50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Максимальное количество баллов присваивается объекту, получившему наивысшее оценочное значение.</w:t>
      </w:r>
    </w:p>
    <w:p w:rsidR="00972DEB" w:rsidRPr="007B558A" w:rsidRDefault="00972DEB" w:rsidP="00972DEB">
      <w:pPr>
        <w:tabs>
          <w:tab w:val="left" w:pos="284"/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72DEB" w:rsidRPr="007B558A" w:rsidSect="001C041E">
      <w:pgSz w:w="11906" w:h="16838"/>
      <w:pgMar w:top="851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2E" w:rsidRDefault="0023382E" w:rsidP="00FA16CF">
      <w:pPr>
        <w:spacing w:after="0" w:line="240" w:lineRule="auto"/>
      </w:pPr>
      <w:r>
        <w:separator/>
      </w:r>
    </w:p>
  </w:endnote>
  <w:endnote w:type="continuationSeparator" w:id="0">
    <w:p w:rsidR="0023382E" w:rsidRDefault="0023382E" w:rsidP="00FA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2E" w:rsidRDefault="0023382E" w:rsidP="00FA16CF">
      <w:pPr>
        <w:spacing w:after="0" w:line="240" w:lineRule="auto"/>
      </w:pPr>
      <w:r>
        <w:separator/>
      </w:r>
    </w:p>
  </w:footnote>
  <w:footnote w:type="continuationSeparator" w:id="0">
    <w:p w:rsidR="0023382E" w:rsidRDefault="0023382E" w:rsidP="00FA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6AC"/>
    <w:multiLevelType w:val="hybridMultilevel"/>
    <w:tmpl w:val="A11C4358"/>
    <w:lvl w:ilvl="0" w:tplc="374CB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D312B"/>
    <w:multiLevelType w:val="hybridMultilevel"/>
    <w:tmpl w:val="063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A6AC0"/>
    <w:multiLevelType w:val="hybridMultilevel"/>
    <w:tmpl w:val="1ECE3084"/>
    <w:lvl w:ilvl="0" w:tplc="0980B2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6581C"/>
    <w:multiLevelType w:val="multilevel"/>
    <w:tmpl w:val="18C6C7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27C31274"/>
    <w:multiLevelType w:val="hybridMultilevel"/>
    <w:tmpl w:val="94305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24B4E"/>
    <w:multiLevelType w:val="hybridMultilevel"/>
    <w:tmpl w:val="5F2CB1E8"/>
    <w:lvl w:ilvl="0" w:tplc="45C4C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97A95"/>
    <w:multiLevelType w:val="hybridMultilevel"/>
    <w:tmpl w:val="DAEE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A4FA4"/>
    <w:multiLevelType w:val="hybridMultilevel"/>
    <w:tmpl w:val="3DFA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73FED"/>
    <w:multiLevelType w:val="hybridMultilevel"/>
    <w:tmpl w:val="59BAAC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9D4998"/>
    <w:multiLevelType w:val="hybridMultilevel"/>
    <w:tmpl w:val="3640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25AAC"/>
    <w:multiLevelType w:val="hybridMultilevel"/>
    <w:tmpl w:val="9A9A7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81590"/>
    <w:multiLevelType w:val="hybridMultilevel"/>
    <w:tmpl w:val="1242D6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7E176D"/>
    <w:multiLevelType w:val="hybridMultilevel"/>
    <w:tmpl w:val="E89C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E7A13"/>
    <w:multiLevelType w:val="hybridMultilevel"/>
    <w:tmpl w:val="DD2A1B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62F61"/>
    <w:multiLevelType w:val="hybridMultilevel"/>
    <w:tmpl w:val="D6B46A7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3147B52"/>
    <w:multiLevelType w:val="hybridMultilevel"/>
    <w:tmpl w:val="3D94B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0D60C6"/>
    <w:multiLevelType w:val="hybridMultilevel"/>
    <w:tmpl w:val="01EE6218"/>
    <w:lvl w:ilvl="0" w:tplc="789C5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7C71FE"/>
    <w:multiLevelType w:val="hybridMultilevel"/>
    <w:tmpl w:val="063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10AA1"/>
    <w:multiLevelType w:val="hybridMultilevel"/>
    <w:tmpl w:val="09DA5CD8"/>
    <w:lvl w:ilvl="0" w:tplc="78444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EF27794"/>
    <w:multiLevelType w:val="multilevel"/>
    <w:tmpl w:val="18C6C7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70791B72"/>
    <w:multiLevelType w:val="hybridMultilevel"/>
    <w:tmpl w:val="1242D6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215895"/>
    <w:multiLevelType w:val="hybridMultilevel"/>
    <w:tmpl w:val="3A86A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204915"/>
    <w:multiLevelType w:val="hybridMultilevel"/>
    <w:tmpl w:val="111C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B75AA"/>
    <w:multiLevelType w:val="hybridMultilevel"/>
    <w:tmpl w:val="9346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D092C"/>
    <w:multiLevelType w:val="multilevel"/>
    <w:tmpl w:val="18C6C7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>
    <w:nsid w:val="7D9A48B0"/>
    <w:multiLevelType w:val="hybridMultilevel"/>
    <w:tmpl w:val="BCBA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104F7"/>
    <w:multiLevelType w:val="hybridMultilevel"/>
    <w:tmpl w:val="667C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17"/>
  </w:num>
  <w:num w:numId="5">
    <w:abstractNumId w:val="6"/>
  </w:num>
  <w:num w:numId="6">
    <w:abstractNumId w:val="7"/>
  </w:num>
  <w:num w:numId="7">
    <w:abstractNumId w:val="23"/>
  </w:num>
  <w:num w:numId="8">
    <w:abstractNumId w:val="9"/>
  </w:num>
  <w:num w:numId="9">
    <w:abstractNumId w:val="25"/>
  </w:num>
  <w:num w:numId="10">
    <w:abstractNumId w:val="26"/>
  </w:num>
  <w:num w:numId="11">
    <w:abstractNumId w:val="4"/>
  </w:num>
  <w:num w:numId="12">
    <w:abstractNumId w:val="21"/>
  </w:num>
  <w:num w:numId="13">
    <w:abstractNumId w:val="13"/>
  </w:num>
  <w:num w:numId="14">
    <w:abstractNumId w:val="8"/>
  </w:num>
  <w:num w:numId="15">
    <w:abstractNumId w:val="10"/>
  </w:num>
  <w:num w:numId="16">
    <w:abstractNumId w:val="15"/>
  </w:num>
  <w:num w:numId="17">
    <w:abstractNumId w:val="11"/>
  </w:num>
  <w:num w:numId="18">
    <w:abstractNumId w:val="20"/>
  </w:num>
  <w:num w:numId="19">
    <w:abstractNumId w:val="16"/>
  </w:num>
  <w:num w:numId="20">
    <w:abstractNumId w:val="0"/>
  </w:num>
  <w:num w:numId="21">
    <w:abstractNumId w:val="5"/>
  </w:num>
  <w:num w:numId="22">
    <w:abstractNumId w:val="19"/>
  </w:num>
  <w:num w:numId="23">
    <w:abstractNumId w:val="2"/>
  </w:num>
  <w:num w:numId="24">
    <w:abstractNumId w:val="3"/>
  </w:num>
  <w:num w:numId="25">
    <w:abstractNumId w:val="24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1"/>
    <w:rsid w:val="00022BF1"/>
    <w:rsid w:val="000243A8"/>
    <w:rsid w:val="00026DC5"/>
    <w:rsid w:val="00080C0A"/>
    <w:rsid w:val="00084D39"/>
    <w:rsid w:val="000A1681"/>
    <w:rsid w:val="000D367E"/>
    <w:rsid w:val="0010393F"/>
    <w:rsid w:val="00152EE0"/>
    <w:rsid w:val="001760DA"/>
    <w:rsid w:val="00176A8E"/>
    <w:rsid w:val="001B12D1"/>
    <w:rsid w:val="001B1D75"/>
    <w:rsid w:val="001B4538"/>
    <w:rsid w:val="001C041E"/>
    <w:rsid w:val="001D5775"/>
    <w:rsid w:val="001F3804"/>
    <w:rsid w:val="001F5362"/>
    <w:rsid w:val="001F586A"/>
    <w:rsid w:val="001F78CB"/>
    <w:rsid w:val="00216866"/>
    <w:rsid w:val="00220EA6"/>
    <w:rsid w:val="0023382E"/>
    <w:rsid w:val="00234AC2"/>
    <w:rsid w:val="00242DD5"/>
    <w:rsid w:val="00263ABB"/>
    <w:rsid w:val="00264191"/>
    <w:rsid w:val="002665A0"/>
    <w:rsid w:val="002710F8"/>
    <w:rsid w:val="002C3CAB"/>
    <w:rsid w:val="002E0C03"/>
    <w:rsid w:val="00325BDB"/>
    <w:rsid w:val="0032743D"/>
    <w:rsid w:val="00335169"/>
    <w:rsid w:val="00336F8B"/>
    <w:rsid w:val="0034719B"/>
    <w:rsid w:val="003575A7"/>
    <w:rsid w:val="003643E9"/>
    <w:rsid w:val="00374162"/>
    <w:rsid w:val="003A5D3F"/>
    <w:rsid w:val="003C4D97"/>
    <w:rsid w:val="003D2A5E"/>
    <w:rsid w:val="003D643D"/>
    <w:rsid w:val="003F30E9"/>
    <w:rsid w:val="0041206F"/>
    <w:rsid w:val="00423A0E"/>
    <w:rsid w:val="00425BF6"/>
    <w:rsid w:val="004455F1"/>
    <w:rsid w:val="00474C94"/>
    <w:rsid w:val="00496E7B"/>
    <w:rsid w:val="004A7E91"/>
    <w:rsid w:val="004C7D4C"/>
    <w:rsid w:val="004D001A"/>
    <w:rsid w:val="004D3F14"/>
    <w:rsid w:val="004E3BEC"/>
    <w:rsid w:val="004F06A7"/>
    <w:rsid w:val="004F6D8B"/>
    <w:rsid w:val="00515B05"/>
    <w:rsid w:val="00516615"/>
    <w:rsid w:val="00526548"/>
    <w:rsid w:val="00533D08"/>
    <w:rsid w:val="005435C2"/>
    <w:rsid w:val="00544D57"/>
    <w:rsid w:val="005503B7"/>
    <w:rsid w:val="00572449"/>
    <w:rsid w:val="00584912"/>
    <w:rsid w:val="00593555"/>
    <w:rsid w:val="005C0E87"/>
    <w:rsid w:val="005D48CA"/>
    <w:rsid w:val="005D7784"/>
    <w:rsid w:val="005E6C71"/>
    <w:rsid w:val="00612FDF"/>
    <w:rsid w:val="00626C24"/>
    <w:rsid w:val="00627A69"/>
    <w:rsid w:val="00641EB2"/>
    <w:rsid w:val="00655025"/>
    <w:rsid w:val="00671629"/>
    <w:rsid w:val="00672F3B"/>
    <w:rsid w:val="00681299"/>
    <w:rsid w:val="00683415"/>
    <w:rsid w:val="0068551F"/>
    <w:rsid w:val="00691F7E"/>
    <w:rsid w:val="006A0EE1"/>
    <w:rsid w:val="006B7A9F"/>
    <w:rsid w:val="006C167A"/>
    <w:rsid w:val="006C31B4"/>
    <w:rsid w:val="006C57BC"/>
    <w:rsid w:val="006D12A7"/>
    <w:rsid w:val="006D16FA"/>
    <w:rsid w:val="006D6045"/>
    <w:rsid w:val="006E05E2"/>
    <w:rsid w:val="007124A7"/>
    <w:rsid w:val="00715982"/>
    <w:rsid w:val="00743EC9"/>
    <w:rsid w:val="007772B0"/>
    <w:rsid w:val="00784549"/>
    <w:rsid w:val="007846B7"/>
    <w:rsid w:val="00790B13"/>
    <w:rsid w:val="007A1F75"/>
    <w:rsid w:val="007A597C"/>
    <w:rsid w:val="007B558A"/>
    <w:rsid w:val="007C739A"/>
    <w:rsid w:val="007E7461"/>
    <w:rsid w:val="007F2921"/>
    <w:rsid w:val="007F306F"/>
    <w:rsid w:val="007F73F6"/>
    <w:rsid w:val="008001C9"/>
    <w:rsid w:val="00801634"/>
    <w:rsid w:val="008054C3"/>
    <w:rsid w:val="00807FCE"/>
    <w:rsid w:val="00822452"/>
    <w:rsid w:val="008330DA"/>
    <w:rsid w:val="00854E30"/>
    <w:rsid w:val="0087387F"/>
    <w:rsid w:val="008846CA"/>
    <w:rsid w:val="008968CB"/>
    <w:rsid w:val="008B6EC3"/>
    <w:rsid w:val="008C079B"/>
    <w:rsid w:val="008F1F3B"/>
    <w:rsid w:val="008F62D6"/>
    <w:rsid w:val="009105BD"/>
    <w:rsid w:val="00931AE1"/>
    <w:rsid w:val="0094035E"/>
    <w:rsid w:val="009424F5"/>
    <w:rsid w:val="00963680"/>
    <w:rsid w:val="00972DEB"/>
    <w:rsid w:val="00983DFC"/>
    <w:rsid w:val="009A1044"/>
    <w:rsid w:val="009C18DA"/>
    <w:rsid w:val="009D6462"/>
    <w:rsid w:val="009D7EE1"/>
    <w:rsid w:val="009E4EE9"/>
    <w:rsid w:val="00A011B7"/>
    <w:rsid w:val="00A13D99"/>
    <w:rsid w:val="00A21D3F"/>
    <w:rsid w:val="00A3011F"/>
    <w:rsid w:val="00A451B5"/>
    <w:rsid w:val="00A46D0E"/>
    <w:rsid w:val="00A577D9"/>
    <w:rsid w:val="00A84F76"/>
    <w:rsid w:val="00A93DCB"/>
    <w:rsid w:val="00AB1543"/>
    <w:rsid w:val="00AB2229"/>
    <w:rsid w:val="00AD531D"/>
    <w:rsid w:val="00AD7A30"/>
    <w:rsid w:val="00AE1C57"/>
    <w:rsid w:val="00AE7E6C"/>
    <w:rsid w:val="00B14536"/>
    <w:rsid w:val="00B14BE5"/>
    <w:rsid w:val="00B160C0"/>
    <w:rsid w:val="00B37ACD"/>
    <w:rsid w:val="00B44D7D"/>
    <w:rsid w:val="00B46867"/>
    <w:rsid w:val="00B50217"/>
    <w:rsid w:val="00B638DF"/>
    <w:rsid w:val="00B64F23"/>
    <w:rsid w:val="00B72A14"/>
    <w:rsid w:val="00B730A4"/>
    <w:rsid w:val="00B8618B"/>
    <w:rsid w:val="00B95D3F"/>
    <w:rsid w:val="00BA1ED8"/>
    <w:rsid w:val="00BB3DC5"/>
    <w:rsid w:val="00BD427F"/>
    <w:rsid w:val="00BF4287"/>
    <w:rsid w:val="00C02545"/>
    <w:rsid w:val="00C10B05"/>
    <w:rsid w:val="00C16917"/>
    <w:rsid w:val="00C256A3"/>
    <w:rsid w:val="00C477A5"/>
    <w:rsid w:val="00C53C4C"/>
    <w:rsid w:val="00CA414B"/>
    <w:rsid w:val="00CA7E39"/>
    <w:rsid w:val="00CC0918"/>
    <w:rsid w:val="00CD379B"/>
    <w:rsid w:val="00CF7550"/>
    <w:rsid w:val="00D012C5"/>
    <w:rsid w:val="00D01B71"/>
    <w:rsid w:val="00D036E8"/>
    <w:rsid w:val="00D122FC"/>
    <w:rsid w:val="00D1268A"/>
    <w:rsid w:val="00D45FFE"/>
    <w:rsid w:val="00D4770A"/>
    <w:rsid w:val="00D51BA8"/>
    <w:rsid w:val="00D83202"/>
    <w:rsid w:val="00D90FFC"/>
    <w:rsid w:val="00DA78FE"/>
    <w:rsid w:val="00DB6096"/>
    <w:rsid w:val="00DC1DB7"/>
    <w:rsid w:val="00DC271F"/>
    <w:rsid w:val="00DC6DC9"/>
    <w:rsid w:val="00DE7174"/>
    <w:rsid w:val="00DF2741"/>
    <w:rsid w:val="00DF4313"/>
    <w:rsid w:val="00E2365C"/>
    <w:rsid w:val="00E2644E"/>
    <w:rsid w:val="00E30018"/>
    <w:rsid w:val="00E361B5"/>
    <w:rsid w:val="00E43AEE"/>
    <w:rsid w:val="00E476BF"/>
    <w:rsid w:val="00E7433A"/>
    <w:rsid w:val="00E96A1B"/>
    <w:rsid w:val="00EB0F77"/>
    <w:rsid w:val="00EC31A5"/>
    <w:rsid w:val="00EC7CA9"/>
    <w:rsid w:val="00ED226C"/>
    <w:rsid w:val="00F41963"/>
    <w:rsid w:val="00F8071F"/>
    <w:rsid w:val="00F934EA"/>
    <w:rsid w:val="00FA16CF"/>
    <w:rsid w:val="00FB1223"/>
    <w:rsid w:val="00FB27AF"/>
    <w:rsid w:val="00FB3097"/>
    <w:rsid w:val="00FC74D4"/>
    <w:rsid w:val="00FD1810"/>
    <w:rsid w:val="00FD6FFB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5A0"/>
    <w:pPr>
      <w:ind w:left="720"/>
      <w:contextualSpacing/>
    </w:pPr>
  </w:style>
  <w:style w:type="paragraph" w:customStyle="1" w:styleId="ConsPlusNormal">
    <w:name w:val="ConsPlusNormal"/>
    <w:rsid w:val="007A1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6CF"/>
  </w:style>
  <w:style w:type="paragraph" w:styleId="a8">
    <w:name w:val="footer"/>
    <w:basedOn w:val="a"/>
    <w:link w:val="a9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6CF"/>
  </w:style>
  <w:style w:type="paragraph" w:customStyle="1" w:styleId="ConsPlusTitlePage">
    <w:name w:val="ConsPlusTitlePage"/>
    <w:rsid w:val="00784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502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5021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021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02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0217"/>
    <w:rPr>
      <w:b/>
      <w:bCs/>
      <w:sz w:val="20"/>
      <w:szCs w:val="20"/>
    </w:rPr>
  </w:style>
  <w:style w:type="table" w:styleId="af">
    <w:name w:val="Table Grid"/>
    <w:basedOn w:val="a1"/>
    <w:uiPriority w:val="59"/>
    <w:rsid w:val="00FC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5A0"/>
    <w:pPr>
      <w:ind w:left="720"/>
      <w:contextualSpacing/>
    </w:pPr>
  </w:style>
  <w:style w:type="paragraph" w:customStyle="1" w:styleId="ConsPlusNormal">
    <w:name w:val="ConsPlusNormal"/>
    <w:rsid w:val="007A1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6CF"/>
  </w:style>
  <w:style w:type="paragraph" w:styleId="a8">
    <w:name w:val="footer"/>
    <w:basedOn w:val="a"/>
    <w:link w:val="a9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6CF"/>
  </w:style>
  <w:style w:type="paragraph" w:customStyle="1" w:styleId="ConsPlusTitlePage">
    <w:name w:val="ConsPlusTitlePage"/>
    <w:rsid w:val="00784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502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5021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021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02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0217"/>
    <w:rPr>
      <w:b/>
      <w:bCs/>
      <w:sz w:val="20"/>
      <w:szCs w:val="20"/>
    </w:rPr>
  </w:style>
  <w:style w:type="table" w:styleId="af">
    <w:name w:val="Table Grid"/>
    <w:basedOn w:val="a1"/>
    <w:uiPriority w:val="59"/>
    <w:rsid w:val="00FC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7FB7-4277-4559-8A90-C8734C9C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Светлана Анатольевна Сокол</cp:lastModifiedBy>
  <cp:revision>2</cp:revision>
  <cp:lastPrinted>2021-10-25T16:35:00Z</cp:lastPrinted>
  <dcterms:created xsi:type="dcterms:W3CDTF">2021-10-26T13:28:00Z</dcterms:created>
  <dcterms:modified xsi:type="dcterms:W3CDTF">2021-10-26T13:28:00Z</dcterms:modified>
</cp:coreProperties>
</file>